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7A56E" w14:textId="02F12B1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WG2 NR Adhoc</w:t>
      </w:r>
      <w:r w:rsidRPr="00B266B0">
        <w:rPr>
          <w:bCs/>
          <w:noProof w:val="0"/>
          <w:sz w:val="24"/>
          <w:szCs w:val="24"/>
        </w:rPr>
        <w:tab/>
      </w:r>
      <w:r w:rsidR="00294D10" w:rsidRPr="00294D10">
        <w:rPr>
          <w:bCs/>
          <w:noProof w:val="0"/>
          <w:sz w:val="24"/>
          <w:szCs w:val="24"/>
        </w:rPr>
        <w:t>R2-1700055</w:t>
      </w:r>
    </w:p>
    <w:p w14:paraId="7A27A56F" w14:textId="77777777" w:rsidR="00CD4C7B" w:rsidRPr="00B266B0" w:rsidRDefault="00936071"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sidR="009A0AF3">
        <w:rPr>
          <w:rFonts w:eastAsia="SimSun"/>
          <w:noProof w:val="0"/>
          <w:sz w:val="24"/>
          <w:szCs w:val="24"/>
          <w:lang w:eastAsia="zh-CN"/>
        </w:rPr>
        <w:t>USA</w:t>
      </w:r>
      <w:r w:rsidR="00C24650" w:rsidRPr="00C24650">
        <w:rPr>
          <w:rFonts w:eastAsia="SimSun"/>
          <w:noProof w:val="0"/>
          <w:sz w:val="24"/>
          <w:szCs w:val="24"/>
          <w:lang w:eastAsia="zh-CN"/>
        </w:rPr>
        <w:t xml:space="preserve">, </w:t>
      </w:r>
      <w:r w:rsidR="00506C28">
        <w:rPr>
          <w:rFonts w:eastAsia="SimSun"/>
          <w:noProof w:val="0"/>
          <w:sz w:val="24"/>
          <w:szCs w:val="24"/>
          <w:lang w:eastAsia="zh-CN"/>
        </w:rPr>
        <w:t>17</w:t>
      </w:r>
      <w:r w:rsidR="00C24650" w:rsidRPr="00C24650">
        <w:rPr>
          <w:rFonts w:eastAsia="SimSun"/>
          <w:noProof w:val="0"/>
          <w:sz w:val="24"/>
          <w:szCs w:val="24"/>
          <w:lang w:eastAsia="zh-CN"/>
        </w:rPr>
        <w:t xml:space="preserve"> - </w:t>
      </w:r>
      <w:r w:rsidR="00506C28">
        <w:rPr>
          <w:rFonts w:eastAsia="SimSun"/>
          <w:noProof w:val="0"/>
          <w:sz w:val="24"/>
          <w:szCs w:val="24"/>
          <w:lang w:eastAsia="zh-CN"/>
        </w:rPr>
        <w:t>19</w:t>
      </w:r>
      <w:r w:rsidR="00C24650" w:rsidRPr="00C24650">
        <w:rPr>
          <w:rFonts w:eastAsia="SimSun"/>
          <w:noProof w:val="0"/>
          <w:sz w:val="24"/>
          <w:szCs w:val="24"/>
          <w:lang w:eastAsia="zh-CN"/>
        </w:rPr>
        <w:t xml:space="preserve"> </w:t>
      </w:r>
      <w:r>
        <w:rPr>
          <w:rFonts w:eastAsia="SimSun"/>
          <w:noProof w:val="0"/>
          <w:sz w:val="24"/>
          <w:szCs w:val="24"/>
          <w:lang w:eastAsia="zh-CN"/>
        </w:rPr>
        <w:t xml:space="preserve">January </w:t>
      </w:r>
      <w:r w:rsidR="00C24650" w:rsidRPr="00C24650">
        <w:rPr>
          <w:rFonts w:eastAsia="SimSun"/>
          <w:noProof w:val="0"/>
          <w:sz w:val="24"/>
          <w:szCs w:val="24"/>
          <w:lang w:eastAsia="zh-CN"/>
        </w:rPr>
        <w:t>201</w:t>
      </w:r>
      <w:r>
        <w:rPr>
          <w:rFonts w:eastAsia="SimSun"/>
          <w:noProof w:val="0"/>
          <w:sz w:val="24"/>
          <w:szCs w:val="24"/>
          <w:lang w:eastAsia="zh-CN"/>
        </w:rPr>
        <w:t>7</w:t>
      </w:r>
    </w:p>
    <w:p w14:paraId="7A27A570" w14:textId="77777777" w:rsidR="00CD4C7B" w:rsidRPr="00B266B0" w:rsidRDefault="00CD4C7B" w:rsidP="00CD4C7B">
      <w:pPr>
        <w:pStyle w:val="Header"/>
        <w:rPr>
          <w:bCs/>
          <w:noProof w:val="0"/>
          <w:sz w:val="24"/>
        </w:rPr>
      </w:pPr>
    </w:p>
    <w:p w14:paraId="7A27A571" w14:textId="77777777" w:rsidR="00CD4C7B" w:rsidRPr="00B266B0" w:rsidRDefault="00CD4C7B" w:rsidP="00CD4C7B">
      <w:pPr>
        <w:pStyle w:val="Header"/>
        <w:rPr>
          <w:bCs/>
          <w:noProof w:val="0"/>
          <w:sz w:val="24"/>
        </w:rPr>
      </w:pPr>
    </w:p>
    <w:p w14:paraId="7A27A572"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F25B4">
        <w:rPr>
          <w:rFonts w:cs="Arial"/>
          <w:b/>
          <w:bCs/>
          <w:sz w:val="24"/>
          <w:lang w:eastAsia="ja-JP"/>
        </w:rPr>
        <w:t>3.2.2.5</w:t>
      </w:r>
    </w:p>
    <w:p w14:paraId="7A27A573"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A27A574"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0A45">
        <w:rPr>
          <w:rFonts w:ascii="Arial" w:hAnsi="Arial" w:cs="Arial"/>
          <w:b/>
          <w:bCs/>
          <w:sz w:val="24"/>
        </w:rPr>
        <w:t>RRC aspects for the direct signalling path from secondary node to the UE</w:t>
      </w:r>
    </w:p>
    <w:p w14:paraId="7A27A575" w14:textId="3CAAF6E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814C1" w:rsidRPr="00A075EE">
        <w:rPr>
          <w:rFonts w:ascii="Arial" w:hAnsi="Arial" w:cs="Arial"/>
          <w:b/>
          <w:bCs/>
          <w:sz w:val="24"/>
        </w:rPr>
        <w:t>FS_ NR_newRAT</w:t>
      </w:r>
      <w:r w:rsidR="005814C1">
        <w:rPr>
          <w:rFonts w:ascii="Arial" w:hAnsi="Arial" w:cs="Arial"/>
          <w:b/>
          <w:bCs/>
          <w:sz w:val="24"/>
        </w:rPr>
        <w:t xml:space="preserve"> - Release 14</w:t>
      </w:r>
      <w:bookmarkStart w:id="1" w:name="_GoBack"/>
      <w:bookmarkEnd w:id="1"/>
    </w:p>
    <w:p w14:paraId="7A27A57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A27A577" w14:textId="77777777" w:rsidR="00CD4C7B" w:rsidRPr="006E13D1" w:rsidRDefault="00CD4C7B" w:rsidP="00CD4C7B">
      <w:pPr>
        <w:pStyle w:val="Heading1"/>
      </w:pPr>
      <w:r w:rsidRPr="006E13D1">
        <w:t>1</w:t>
      </w:r>
      <w:r w:rsidRPr="006E13D1">
        <w:tab/>
      </w:r>
      <w:r w:rsidR="0056573F">
        <w:t>Introduction</w:t>
      </w:r>
    </w:p>
    <w:p w14:paraId="7A27A578" w14:textId="77777777" w:rsidR="00F40A45" w:rsidRPr="00F40A45" w:rsidRDefault="00F40A45" w:rsidP="00F40A45">
      <w:pPr>
        <w:pStyle w:val="BodyText"/>
        <w:rPr>
          <w:rFonts w:ascii="Times New Roman" w:hAnsi="Times New Roman"/>
          <w:lang w:eastAsia="en-US"/>
        </w:rPr>
      </w:pPr>
      <w:r w:rsidRPr="00F40A45">
        <w:rPr>
          <w:rFonts w:ascii="Times New Roman" w:hAnsi="Times New Roman"/>
          <w:lang w:eastAsia="en-US"/>
        </w:rPr>
        <w:t>In</w:t>
      </w:r>
      <w:r>
        <w:rPr>
          <w:rFonts w:ascii="Times New Roman" w:hAnsi="Times New Roman"/>
          <w:lang w:eastAsia="en-US"/>
        </w:rPr>
        <w:t xml:space="preserve"> the</w:t>
      </w:r>
      <w:r w:rsidRPr="00F40A45">
        <w:rPr>
          <w:rFonts w:ascii="Times New Roman" w:hAnsi="Times New Roman"/>
          <w:lang w:eastAsia="en-US"/>
        </w:rPr>
        <w:t xml:space="preserve"> RAN2#95bis, the following agreements were made</w:t>
      </w:r>
      <w:r>
        <w:rPr>
          <w:rFonts w:ascii="Times New Roman" w:hAnsi="Times New Roman"/>
          <w:lang w:eastAsia="en-US"/>
        </w:rPr>
        <w:t xml:space="preserve"> allowing the possibility of a secondary node to format NR RRC PDUs for the UE configuration</w:t>
      </w:r>
      <w:r w:rsidRPr="00F40A45">
        <w:rPr>
          <w:rFonts w:ascii="Times New Roman" w:hAnsi="Times New Roman"/>
          <w:lang w:eastAsia="en-US"/>
        </w:rPr>
        <w:t>:</w:t>
      </w:r>
    </w:p>
    <w:p w14:paraId="7A27A579" w14:textId="77777777" w:rsidR="00F40A45" w:rsidRPr="00F40A45" w:rsidRDefault="00F40A45" w:rsidP="00F40A45">
      <w:pPr>
        <w:pStyle w:val="Doc-text2"/>
        <w:pBdr>
          <w:top w:val="single" w:sz="4" w:space="1" w:color="auto"/>
          <w:left w:val="single" w:sz="4" w:space="4" w:color="auto"/>
          <w:bottom w:val="single" w:sz="4" w:space="1" w:color="auto"/>
          <w:right w:val="single" w:sz="4" w:space="0" w:color="auto"/>
        </w:pBdr>
        <w:tabs>
          <w:tab w:val="clear" w:pos="1622"/>
        </w:tabs>
        <w:ind w:left="142" w:firstLine="0"/>
        <w:rPr>
          <w:rFonts w:ascii="Times New Roman" w:eastAsia="Times New Roman" w:hAnsi="Times New Roman"/>
          <w:szCs w:val="20"/>
          <w:lang w:eastAsia="en-US"/>
        </w:rPr>
      </w:pPr>
      <w:r w:rsidRPr="00F40A45">
        <w:rPr>
          <w:rFonts w:ascii="Times New Roman" w:eastAsia="Times New Roman" w:hAnsi="Times New Roman"/>
          <w:szCs w:val="20"/>
          <w:lang w:eastAsia="en-US"/>
        </w:rPr>
        <w:t>Agreements:</w:t>
      </w:r>
    </w:p>
    <w:p w14:paraId="7A27A57A" w14:textId="77777777" w:rsidR="00F40A45" w:rsidRPr="00F40A45" w:rsidRDefault="00F40A45" w:rsidP="00F40A45">
      <w:pPr>
        <w:pStyle w:val="Doc-text2"/>
        <w:numPr>
          <w:ilvl w:val="0"/>
          <w:numId w:val="5"/>
        </w:numPr>
        <w:pBdr>
          <w:top w:val="single" w:sz="4" w:space="1" w:color="auto"/>
          <w:left w:val="single" w:sz="4" w:space="4" w:color="auto"/>
          <w:bottom w:val="single" w:sz="4" w:space="1" w:color="auto"/>
          <w:right w:val="single" w:sz="4" w:space="0" w:color="auto"/>
        </w:pBdr>
        <w:tabs>
          <w:tab w:val="clear" w:pos="1622"/>
        </w:tabs>
        <w:rPr>
          <w:rFonts w:ascii="Times New Roman" w:eastAsia="Times New Roman" w:hAnsi="Times New Roman"/>
          <w:szCs w:val="20"/>
          <w:lang w:eastAsia="en-US"/>
        </w:rPr>
      </w:pPr>
      <w:r w:rsidRPr="00F40A45">
        <w:rPr>
          <w:rFonts w:ascii="Times New Roman" w:eastAsia="Times New Roman" w:hAnsi="Times New Roman"/>
          <w:szCs w:val="20"/>
          <w:lang w:eastAsia="en-US"/>
        </w:rPr>
        <w:t>Agree the following principle: the master node and the secondary node only need to use own RAT UE capabilities (which will include some other RAT capabilities relating to the interworking). At least for the initial configuration of interworking case these are provided on the master node RAT or from core network</w:t>
      </w:r>
    </w:p>
    <w:p w14:paraId="7A27A57B" w14:textId="77777777" w:rsidR="00F40A45" w:rsidRPr="00F40A45" w:rsidRDefault="00F40A45" w:rsidP="00F40A45">
      <w:pPr>
        <w:pStyle w:val="Doc-text2"/>
        <w:numPr>
          <w:ilvl w:val="0"/>
          <w:numId w:val="5"/>
        </w:numPr>
        <w:pBdr>
          <w:top w:val="single" w:sz="4" w:space="1" w:color="auto"/>
          <w:left w:val="single" w:sz="4" w:space="4" w:color="auto"/>
          <w:bottom w:val="single" w:sz="4" w:space="1" w:color="auto"/>
          <w:right w:val="single" w:sz="4" w:space="0" w:color="auto"/>
        </w:pBdr>
        <w:tabs>
          <w:tab w:val="clear" w:pos="1622"/>
        </w:tabs>
        <w:rPr>
          <w:rFonts w:ascii="Times New Roman" w:eastAsia="Times New Roman" w:hAnsi="Times New Roman"/>
          <w:szCs w:val="20"/>
          <w:lang w:eastAsia="en-US"/>
        </w:rPr>
      </w:pPr>
      <w:r w:rsidRPr="00F40A45">
        <w:rPr>
          <w:rFonts w:ascii="Times New Roman" w:eastAsia="Times New Roman" w:hAnsi="Times New Roman"/>
          <w:szCs w:val="20"/>
          <w:lang w:eastAsia="en-US"/>
        </w:rPr>
        <w:t>Allow gNB to format NR RRC PDUs for the UE configuration.</w:t>
      </w:r>
    </w:p>
    <w:p w14:paraId="7A27A57C" w14:textId="77777777" w:rsidR="00F40A45" w:rsidRPr="00F40A45" w:rsidRDefault="00F40A45" w:rsidP="00F40A45">
      <w:pPr>
        <w:pStyle w:val="Doc-text2"/>
        <w:tabs>
          <w:tab w:val="clear" w:pos="1622"/>
        </w:tabs>
        <w:ind w:left="142" w:firstLine="0"/>
        <w:rPr>
          <w:rFonts w:ascii="Times New Roman" w:eastAsia="Times New Roman" w:hAnsi="Times New Roman"/>
          <w:szCs w:val="20"/>
          <w:lang w:eastAsia="en-US"/>
        </w:rPr>
      </w:pPr>
    </w:p>
    <w:p w14:paraId="7A27A57D" w14:textId="77777777" w:rsidR="00CD4C7B" w:rsidRPr="00F40A45" w:rsidRDefault="00F40A45" w:rsidP="00F40A45">
      <w:pPr>
        <w:pStyle w:val="BodyText"/>
        <w:rPr>
          <w:rFonts w:ascii="Times New Roman" w:hAnsi="Times New Roman"/>
          <w:lang w:eastAsia="en-US"/>
        </w:rPr>
      </w:pPr>
      <w:r>
        <w:rPr>
          <w:rFonts w:ascii="Times New Roman" w:hAnsi="Times New Roman"/>
          <w:lang w:eastAsia="en-US"/>
        </w:rPr>
        <w:t>The focus of this discussion paper is to reiterate the requirement of allowing full (and final) NR RRC PDUs to be transacted between the secondary node and the UE as well as discuss the issues and solutions which allow this mechanism.</w:t>
      </w:r>
    </w:p>
    <w:p w14:paraId="7A27A57E" w14:textId="77777777" w:rsidR="00CD4C7B" w:rsidRPr="006E13D1" w:rsidRDefault="00CD4C7B" w:rsidP="00CD4C7B">
      <w:pPr>
        <w:pStyle w:val="Heading1"/>
      </w:pPr>
      <w:r w:rsidRPr="006E13D1">
        <w:t>2</w:t>
      </w:r>
      <w:r w:rsidRPr="006E13D1">
        <w:tab/>
      </w:r>
      <w:r w:rsidR="0002620A">
        <w:t>Definition on UE capability categories</w:t>
      </w:r>
    </w:p>
    <w:p w14:paraId="7A27A57F" w14:textId="77777777" w:rsidR="007B25FD" w:rsidRDefault="007B25FD" w:rsidP="007B25FD">
      <w:r>
        <w:t>The three deployment scenarios that have been agreed to be studied as part of LTE-NR tight interworking are shown in Figure 1 below. These scenarios correspond to the non-standalone scenarios captured in RP-161266 [1] as scenarios 3, 4 and 7 respectively:</w:t>
      </w:r>
    </w:p>
    <w:p w14:paraId="7A27A580" w14:textId="77777777" w:rsidR="007B25FD" w:rsidRDefault="007B25FD" w:rsidP="007B25FD">
      <w:r>
        <w:t xml:space="preserve"> </w:t>
      </w:r>
      <w:r w:rsidRPr="00B529A9">
        <w:rPr>
          <w:lang w:val="en-IN"/>
        </w:rPr>
        <w:object w:dxaOrig="12815" w:dyaOrig="3922" w14:anchorId="7A27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7.7pt" o:ole="">
            <v:imagedata r:id="rId10" o:title=""/>
          </v:shape>
          <o:OLEObject Type="Embed" ProgID="Visio.Drawing.11" ShapeID="_x0000_i1025" DrawAspect="Content" ObjectID="_1545154803" r:id="rId11"/>
        </w:object>
      </w:r>
    </w:p>
    <w:p w14:paraId="7A27A581" w14:textId="77777777" w:rsidR="007B25FD" w:rsidRPr="007B25FD" w:rsidRDefault="007B25FD" w:rsidP="007B25FD">
      <w:pPr>
        <w:jc w:val="center"/>
        <w:rPr>
          <w:rFonts w:ascii="Arial" w:hAnsi="Arial"/>
          <w:b/>
        </w:rPr>
      </w:pPr>
      <w:r w:rsidRPr="007B25FD">
        <w:rPr>
          <w:rFonts w:ascii="Arial" w:hAnsi="Arial"/>
          <w:b/>
        </w:rPr>
        <w:t>Figure 1: LTE-NR tight interworking deployment scenarios (RP-161266)</w:t>
      </w:r>
    </w:p>
    <w:p w14:paraId="7A27A582" w14:textId="77777777" w:rsidR="00CD4C7B" w:rsidRDefault="000F4046" w:rsidP="001B49C9">
      <w:r>
        <w:t xml:space="preserve">We use the following definitions for UE capability categories for the rest of the discussion. Broadly speaking, the UE capability may be considered to fall into the following </w:t>
      </w:r>
      <w:r w:rsidR="00210A9F">
        <w:t>groups:</w:t>
      </w:r>
    </w:p>
    <w:p w14:paraId="7A27A583" w14:textId="751E4FEE" w:rsidR="00210A9F" w:rsidRDefault="009A03A4" w:rsidP="001B49C9">
      <w:r>
        <w:rPr>
          <w:b/>
        </w:rPr>
        <w:t>Type I</w:t>
      </w:r>
      <w:r w:rsidR="00210A9F">
        <w:t>: Capabilities pertaining to a given RAT (e.g. LTE, NR or any other RAT specific capability</w:t>
      </w:r>
      <w:r w:rsidR="002A1FBB">
        <w:t xml:space="preserve"> like support of an LTE feature</w:t>
      </w:r>
      <w:r w:rsidR="00210A9F">
        <w:t>)</w:t>
      </w:r>
    </w:p>
    <w:p w14:paraId="7A27A584" w14:textId="4631EF39" w:rsidR="00210A9F" w:rsidRDefault="009A03A4" w:rsidP="001B49C9">
      <w:r>
        <w:rPr>
          <w:b/>
        </w:rPr>
        <w:t>Type II</w:t>
      </w:r>
      <w:r w:rsidR="00210A9F">
        <w:t>: Hard or semi-statically shared capabilities between LTE and NR (</w:t>
      </w:r>
      <w:r w:rsidR="002A1FBB">
        <w:t xml:space="preserve">i.e. change requires RRC configuration or is fixed - </w:t>
      </w:r>
      <w:r w:rsidR="00210A9F">
        <w:t>possible examples are RF band combinations, HARQ soft buffer</w:t>
      </w:r>
      <w:r w:rsidR="002A1FBB">
        <w:t xml:space="preserve"> split</w:t>
      </w:r>
      <w:r w:rsidR="00210A9F">
        <w:t>)</w:t>
      </w:r>
    </w:p>
    <w:p w14:paraId="7A27A585" w14:textId="2C36933F" w:rsidR="00210A9F" w:rsidRDefault="009A03A4" w:rsidP="001B49C9">
      <w:r>
        <w:rPr>
          <w:b/>
        </w:rPr>
        <w:lastRenderedPageBreak/>
        <w:t>Type III</w:t>
      </w:r>
      <w:r w:rsidR="00210A9F">
        <w:t>: Dynamic capabilities shared between LTE and NR (</w:t>
      </w:r>
      <w:r w:rsidR="002A1FBB">
        <w:t xml:space="preserve">i.e. change does not require RRC configuration - </w:t>
      </w:r>
      <w:r w:rsidR="00210A9F">
        <w:t>possible example is UL transmission power</w:t>
      </w:r>
      <w:r w:rsidR="002A1FBB">
        <w:t xml:space="preserve"> split between LTE and NR</w:t>
      </w:r>
      <w:r w:rsidR="00210A9F">
        <w:t>)</w:t>
      </w:r>
    </w:p>
    <w:p w14:paraId="7A27A586" w14:textId="7B011692" w:rsidR="00210A9F" w:rsidRDefault="000516E1" w:rsidP="001B49C9">
      <w:r w:rsidRPr="000516E1">
        <w:rPr>
          <w:b/>
        </w:rPr>
        <w:t>Note</w:t>
      </w:r>
      <w:r>
        <w:t xml:space="preserve">: </w:t>
      </w:r>
      <w:r w:rsidR="002A1FBB">
        <w:t xml:space="preserve">Some capabilities </w:t>
      </w:r>
      <w:r>
        <w:t xml:space="preserve">may belong to </w:t>
      </w:r>
      <w:r w:rsidR="009A03A4">
        <w:t>Type I</w:t>
      </w:r>
      <w:r>
        <w:t xml:space="preserve"> or B depending on the band of operation.</w:t>
      </w:r>
    </w:p>
    <w:p w14:paraId="32066DD9" w14:textId="6E9C46B7" w:rsidR="002A1FBB" w:rsidRDefault="00C95B45" w:rsidP="001B49C9">
      <w:r>
        <w:t>We will call configurations related to each of the capability types as e.g. “</w:t>
      </w:r>
      <w:r w:rsidR="009A03A4">
        <w:t>Type I</w:t>
      </w:r>
      <w:r>
        <w:t xml:space="preserve"> configuration” in the rest of the document, and </w:t>
      </w:r>
      <w:r w:rsidR="002A1FBB">
        <w:t xml:space="preserve">observe the following </w:t>
      </w:r>
      <w:r>
        <w:t xml:space="preserve">for the </w:t>
      </w:r>
      <w:r w:rsidR="002A1FBB">
        <w:t xml:space="preserve">UE configuration related to capabilities of </w:t>
      </w:r>
      <w:r>
        <w:t xml:space="preserve">each </w:t>
      </w:r>
      <w:r w:rsidR="002A1FBB">
        <w:t>type:</w:t>
      </w:r>
    </w:p>
    <w:p w14:paraId="278D0FEA" w14:textId="683CDFFA" w:rsidR="002A1FBB" w:rsidRDefault="009A03A4" w:rsidP="00D21FE8">
      <w:pPr>
        <w:pStyle w:val="ListParagraph"/>
        <w:numPr>
          <w:ilvl w:val="0"/>
          <w:numId w:val="8"/>
        </w:numPr>
      </w:pPr>
      <w:r>
        <w:t>Type I</w:t>
      </w:r>
      <w:r w:rsidR="000516E1">
        <w:t xml:space="preserve"> </w:t>
      </w:r>
      <w:r w:rsidR="002A1FBB">
        <w:t xml:space="preserve">configuration </w:t>
      </w:r>
      <w:r w:rsidR="000516E1">
        <w:t>do</w:t>
      </w:r>
      <w:r w:rsidR="002A1FBB">
        <w:t>es</w:t>
      </w:r>
      <w:r w:rsidR="000516E1">
        <w:t xml:space="preserve"> not need any coordination between the RATs</w:t>
      </w:r>
      <w:r w:rsidR="002A1FBB">
        <w:t xml:space="preserve"> – the parameters are only relevant to the corresponding RAT</w:t>
      </w:r>
      <w:r w:rsidR="001B1E1C">
        <w:t xml:space="preserve"> (and </w:t>
      </w:r>
      <w:r w:rsidR="001B1E1C">
        <w:rPr>
          <w:lang w:eastAsia="zh-TW"/>
        </w:rPr>
        <w:t>are not related to tight interworking)</w:t>
      </w:r>
      <w:r w:rsidR="000516E1">
        <w:t xml:space="preserve">. Furthermore, each RAT may change a parameter belonging to this type without exceeding the UE capabilities. </w:t>
      </w:r>
    </w:p>
    <w:p w14:paraId="6BBAD910" w14:textId="4CEE3A33" w:rsidR="002A1FBB" w:rsidRDefault="009A03A4" w:rsidP="00D21FE8">
      <w:pPr>
        <w:pStyle w:val="ListParagraph"/>
        <w:numPr>
          <w:ilvl w:val="0"/>
          <w:numId w:val="8"/>
        </w:numPr>
      </w:pPr>
      <w:r>
        <w:t>Type II</w:t>
      </w:r>
      <w:r w:rsidR="000516E1">
        <w:t xml:space="preserve"> </w:t>
      </w:r>
      <w:r w:rsidR="002A1FBB">
        <w:t xml:space="preserve">configuration </w:t>
      </w:r>
      <w:r w:rsidR="000516E1">
        <w:t xml:space="preserve">may require </w:t>
      </w:r>
      <w:r w:rsidR="002A1FBB">
        <w:t xml:space="preserve">some </w:t>
      </w:r>
      <w:r w:rsidR="000516E1">
        <w:t>coordination between RATs</w:t>
      </w:r>
      <w:r w:rsidR="002A1FBB">
        <w:t xml:space="preserve"> since each RAT’s configuration may depend on the chosen configuration of the other RAT</w:t>
      </w:r>
      <w:r w:rsidR="000516E1">
        <w:t xml:space="preserve">. </w:t>
      </w:r>
      <w:r w:rsidR="00870515">
        <w:t xml:space="preserve">Therefore, a change in </w:t>
      </w:r>
      <w:r>
        <w:t>Type II</w:t>
      </w:r>
      <w:r w:rsidR="00870515">
        <w:t xml:space="preserve"> parameter requires a reconfiguration negotiation over Xx and in addition it may </w:t>
      </w:r>
      <w:r w:rsidR="007501AC">
        <w:t>require a RRC reconfiguration of</w:t>
      </w:r>
      <w:r w:rsidR="00870515">
        <w:t xml:space="preserve"> the UE</w:t>
      </w:r>
      <w:r w:rsidR="002A1FBB">
        <w:t>.</w:t>
      </w:r>
      <w:r w:rsidR="001B1E1C">
        <w:t xml:space="preserve"> </w:t>
      </w:r>
      <w:r w:rsidR="001B1E1C">
        <w:rPr>
          <w:b/>
        </w:rPr>
        <w:t>These</w:t>
      </w:r>
      <w:r w:rsidR="001B1E1C" w:rsidRPr="001B1E1C">
        <w:rPr>
          <w:b/>
        </w:rPr>
        <w:t xml:space="preserve"> UE capabilities are either hard or semi-statically split (e.g. RF band combinations and HARQ buffer sharing between LTE and NR)</w:t>
      </w:r>
      <w:r w:rsidR="001B1E1C">
        <w:rPr>
          <w:b/>
        </w:rPr>
        <w:t>.</w:t>
      </w:r>
    </w:p>
    <w:p w14:paraId="7A27A587" w14:textId="28A63EA2" w:rsidR="000516E1" w:rsidRDefault="009A03A4" w:rsidP="00D21FE8">
      <w:pPr>
        <w:pStyle w:val="ListParagraph"/>
        <w:numPr>
          <w:ilvl w:val="0"/>
          <w:numId w:val="8"/>
        </w:numPr>
      </w:pPr>
      <w:r>
        <w:rPr>
          <w:b/>
        </w:rPr>
        <w:t>Type III</w:t>
      </w:r>
      <w:r w:rsidR="001B1E1C" w:rsidRPr="001B1E1C">
        <w:rPr>
          <w:b/>
        </w:rPr>
        <w:t xml:space="preserve"> capabilities are possible to be dynamically split (e.g. UL Tx power)</w:t>
      </w:r>
      <w:r w:rsidR="001B1E1C">
        <w:rPr>
          <w:b/>
        </w:rPr>
        <w:t xml:space="preserve">. A </w:t>
      </w:r>
      <w:r>
        <w:t>Type III</w:t>
      </w:r>
      <w:r w:rsidR="000516E1">
        <w:t xml:space="preserve"> </w:t>
      </w:r>
      <w:r w:rsidR="002A1FBB">
        <w:t xml:space="preserve">configuration </w:t>
      </w:r>
      <w:r w:rsidR="000516E1">
        <w:t xml:space="preserve">will require </w:t>
      </w:r>
      <w:r w:rsidR="000516E1" w:rsidRPr="007501AC">
        <w:t xml:space="preserve">coordination </w:t>
      </w:r>
      <w:r w:rsidR="007501AC">
        <w:t xml:space="preserve">on the fly </w:t>
      </w:r>
      <w:r w:rsidR="000516E1">
        <w:t>between the master and secondary nodes</w:t>
      </w:r>
      <w:r w:rsidR="007501AC">
        <w:t xml:space="preserve"> dynamically without a reconfiguration</w:t>
      </w:r>
      <w:r w:rsidR="00870515">
        <w:t xml:space="preserve">. </w:t>
      </w:r>
      <w:r w:rsidR="002A1FBB">
        <w:t xml:space="preserve">Some limits may be imposed by </w:t>
      </w:r>
      <w:r w:rsidR="001B1E1C">
        <w:t xml:space="preserve">initial </w:t>
      </w:r>
      <w:r w:rsidR="002A1FBB">
        <w:t>configuration</w:t>
      </w:r>
      <w:r w:rsidR="001B1E1C">
        <w:t xml:space="preserve"> and the nodes could operate between those limits without further coordination</w:t>
      </w:r>
      <w:r w:rsidR="002A1FBB">
        <w:t>.</w:t>
      </w:r>
    </w:p>
    <w:p w14:paraId="0ABA6EFA" w14:textId="628D20AA" w:rsidR="004E1DF7" w:rsidRPr="00D21FE8" w:rsidRDefault="00412CBE" w:rsidP="00D21FE8">
      <w:pPr>
        <w:pStyle w:val="B1"/>
        <w:ind w:left="0" w:firstLine="0"/>
        <w:rPr>
          <w:b/>
        </w:rPr>
      </w:pPr>
      <w:r>
        <w:rPr>
          <w:b/>
        </w:rPr>
        <w:t xml:space="preserve">Observation 1: LTE does not need to be aware of changes to </w:t>
      </w:r>
      <w:r w:rsidR="009A03A4">
        <w:rPr>
          <w:b/>
        </w:rPr>
        <w:t>Type I</w:t>
      </w:r>
      <w:r>
        <w:rPr>
          <w:b/>
        </w:rPr>
        <w:t xml:space="preserve"> NR configuration and NR does not need to be aware of changes to </w:t>
      </w:r>
      <w:r w:rsidR="009A03A4">
        <w:rPr>
          <w:b/>
        </w:rPr>
        <w:t>Type I</w:t>
      </w:r>
      <w:r>
        <w:rPr>
          <w:b/>
        </w:rPr>
        <w:t xml:space="preserve"> LTE configuration. </w:t>
      </w:r>
    </w:p>
    <w:p w14:paraId="7A27A588" w14:textId="6B3A6FFB" w:rsidR="00CD4C7B" w:rsidRPr="006E13D1" w:rsidRDefault="00CD4C7B" w:rsidP="00CD4C7B">
      <w:pPr>
        <w:pStyle w:val="Heading1"/>
      </w:pPr>
      <w:r w:rsidRPr="006E13D1">
        <w:t>3</w:t>
      </w:r>
      <w:r w:rsidRPr="006E13D1">
        <w:tab/>
      </w:r>
      <w:r w:rsidR="00F20F46">
        <w:t xml:space="preserve">Direct </w:t>
      </w:r>
      <w:r w:rsidR="00CF0234">
        <w:t xml:space="preserve">signalling of </w:t>
      </w:r>
      <w:r w:rsidR="00CD34DF">
        <w:t xml:space="preserve"> </w:t>
      </w:r>
      <w:r w:rsidR="00CF0234">
        <w:t xml:space="preserve">SCG </w:t>
      </w:r>
      <w:r w:rsidR="00CD34DF">
        <w:t>configuration from SgNB to the UE</w:t>
      </w:r>
    </w:p>
    <w:p w14:paraId="7A27A589" w14:textId="77777777" w:rsidR="00CD4C7B" w:rsidRPr="006E13D1" w:rsidRDefault="00CD4C7B" w:rsidP="00CD4C7B">
      <w:pPr>
        <w:pStyle w:val="Heading2"/>
      </w:pPr>
      <w:r w:rsidRPr="006E13D1">
        <w:t>3.1</w:t>
      </w:r>
      <w:r w:rsidRPr="006E13D1">
        <w:tab/>
      </w:r>
      <w:r w:rsidR="00F20F46">
        <w:t>Motivation</w:t>
      </w:r>
    </w:p>
    <w:p w14:paraId="0AEDE98B" w14:textId="2993F2EC" w:rsidR="002A1FBB" w:rsidRDefault="004E1DF7" w:rsidP="002A1FBB">
      <w:pPr>
        <w:jc w:val="center"/>
      </w:pPr>
      <w:r>
        <w:object w:dxaOrig="5564" w:dyaOrig="6795" w14:anchorId="24592505">
          <v:shape id="_x0000_i1026" type="#_x0000_t75" style="width:194.3pt;height:239.1pt" o:ole="">
            <v:imagedata r:id="rId12" o:title=""/>
          </v:shape>
          <o:OLEObject Type="Embed" ProgID="Visio.Drawing.11" ShapeID="_x0000_i1026" DrawAspect="Content" ObjectID="_1545154804" r:id="rId13"/>
        </w:object>
      </w:r>
    </w:p>
    <w:p w14:paraId="7A27A58B" w14:textId="77777777" w:rsidR="00C03C5C" w:rsidRDefault="00C03C5C" w:rsidP="00C03C5C">
      <w:pPr>
        <w:jc w:val="center"/>
      </w:pPr>
      <w:r>
        <w:rPr>
          <w:rFonts w:ascii="Arial" w:hAnsi="Arial"/>
          <w:b/>
        </w:rPr>
        <w:t>Figure 2</w:t>
      </w:r>
      <w:r w:rsidRPr="007B25FD">
        <w:rPr>
          <w:rFonts w:ascii="Arial" w:hAnsi="Arial"/>
          <w:b/>
        </w:rPr>
        <w:t xml:space="preserve">: </w:t>
      </w:r>
      <w:r w:rsidR="00F20F46">
        <w:rPr>
          <w:rFonts w:ascii="Arial" w:hAnsi="Arial"/>
          <w:b/>
        </w:rPr>
        <w:t>Scenario 3 tight interworking between LTE and NR</w:t>
      </w:r>
    </w:p>
    <w:p w14:paraId="7A27A58C" w14:textId="24D1E106" w:rsidR="001B2FBF" w:rsidRDefault="00CD34DF" w:rsidP="001B2FBF">
      <w:pPr>
        <w:pStyle w:val="TF"/>
        <w:jc w:val="left"/>
        <w:rPr>
          <w:rFonts w:ascii="Times New Roman" w:hAnsi="Times New Roman"/>
          <w:b w:val="0"/>
        </w:rPr>
      </w:pPr>
      <w:r>
        <w:rPr>
          <w:rFonts w:ascii="Times New Roman" w:hAnsi="Times New Roman"/>
          <w:b w:val="0"/>
        </w:rPr>
        <w:t>In this section we motivate the need for allowing direct</w:t>
      </w:r>
      <w:r w:rsidR="006106B9">
        <w:rPr>
          <w:rFonts w:ascii="Times New Roman" w:hAnsi="Times New Roman"/>
          <w:b w:val="0"/>
        </w:rPr>
        <w:t xml:space="preserve"> signalling of the SCG </w:t>
      </w:r>
      <w:r>
        <w:rPr>
          <w:rFonts w:ascii="Times New Roman" w:hAnsi="Times New Roman"/>
          <w:b w:val="0"/>
        </w:rPr>
        <w:t xml:space="preserve"> configuration between the SgNB and the UE. In Figure 2, we make a few assumptions (which do not violate any previous agreements made on tight interworking):</w:t>
      </w:r>
    </w:p>
    <w:p w14:paraId="3BB2EDEF" w14:textId="1B2616DE" w:rsidR="00412CBE" w:rsidRDefault="00412CBE" w:rsidP="00CD34DF">
      <w:pPr>
        <w:pStyle w:val="TF"/>
        <w:numPr>
          <w:ilvl w:val="0"/>
          <w:numId w:val="6"/>
        </w:numPr>
        <w:jc w:val="left"/>
        <w:rPr>
          <w:rFonts w:ascii="Times New Roman" w:hAnsi="Times New Roman"/>
          <w:b w:val="0"/>
        </w:rPr>
      </w:pPr>
      <w:r>
        <w:rPr>
          <w:rFonts w:ascii="Times New Roman" w:hAnsi="Times New Roman"/>
          <w:b w:val="0"/>
        </w:rPr>
        <w:t xml:space="preserve">The MeNB and SgNB can indendently decide on the </w:t>
      </w:r>
      <w:r w:rsidR="009A03A4">
        <w:rPr>
          <w:rFonts w:ascii="Times New Roman" w:hAnsi="Times New Roman"/>
          <w:b w:val="0"/>
        </w:rPr>
        <w:t>Type I</w:t>
      </w:r>
      <w:r>
        <w:rPr>
          <w:rFonts w:ascii="Times New Roman" w:hAnsi="Times New Roman"/>
          <w:b w:val="0"/>
        </w:rPr>
        <w:t xml:space="preserve"> LTE and NR configurations</w:t>
      </w:r>
    </w:p>
    <w:p w14:paraId="5993D8D1" w14:textId="730E6453" w:rsidR="001B1E1C" w:rsidRPr="00294D10" w:rsidRDefault="00C95B45" w:rsidP="001B1E1C">
      <w:pPr>
        <w:pStyle w:val="TF"/>
        <w:numPr>
          <w:ilvl w:val="0"/>
          <w:numId w:val="6"/>
        </w:numPr>
        <w:jc w:val="left"/>
        <w:rPr>
          <w:rFonts w:ascii="Times New Roman" w:hAnsi="Times New Roman"/>
          <w:b w:val="0"/>
        </w:rPr>
      </w:pPr>
      <w:r>
        <w:rPr>
          <w:rFonts w:ascii="Times New Roman" w:hAnsi="Times New Roman"/>
          <w:b w:val="0"/>
        </w:rPr>
        <w:t>There is a</w:t>
      </w:r>
      <w:r w:rsidR="00CD34DF">
        <w:rPr>
          <w:rFonts w:ascii="Times New Roman" w:hAnsi="Times New Roman"/>
          <w:b w:val="0"/>
        </w:rPr>
        <w:t xml:space="preserve"> single RRC </w:t>
      </w:r>
      <w:r w:rsidR="001B1E1C">
        <w:rPr>
          <w:rFonts w:ascii="Times New Roman" w:hAnsi="Times New Roman"/>
          <w:b w:val="0"/>
        </w:rPr>
        <w:t xml:space="preserve">state machine </w:t>
      </w:r>
      <w:r w:rsidR="00CD34DF">
        <w:rPr>
          <w:rFonts w:ascii="Times New Roman" w:hAnsi="Times New Roman"/>
          <w:b w:val="0"/>
        </w:rPr>
        <w:t>in the UE</w:t>
      </w:r>
      <w:r w:rsidR="001B1E1C">
        <w:rPr>
          <w:rFonts w:ascii="Times New Roman" w:hAnsi="Times New Roman"/>
          <w:b w:val="0"/>
        </w:rPr>
        <w:t xml:space="preserve"> (based on the master)</w:t>
      </w:r>
      <w:r w:rsidR="00CD34DF">
        <w:rPr>
          <w:rFonts w:ascii="Times New Roman" w:hAnsi="Times New Roman"/>
          <w:b w:val="0"/>
        </w:rPr>
        <w:t xml:space="preserve"> </w:t>
      </w:r>
      <w:r w:rsidR="001B1E1C">
        <w:rPr>
          <w:rFonts w:ascii="Times New Roman" w:hAnsi="Times New Roman"/>
          <w:b w:val="0"/>
        </w:rPr>
        <w:t>and n</w:t>
      </w:r>
      <w:r w:rsidR="001B1E1C" w:rsidRPr="001B1E1C">
        <w:rPr>
          <w:rFonts w:ascii="Times New Roman" w:hAnsi="Times New Roman"/>
          <w:b w:val="0"/>
        </w:rPr>
        <w:t>etwork has two RRC entities that can generate ASN.1</w:t>
      </w:r>
      <w:r w:rsidR="001B1E1C">
        <w:rPr>
          <w:rFonts w:ascii="Times New Roman" w:hAnsi="Times New Roman"/>
          <w:b w:val="0"/>
        </w:rPr>
        <w:t>.</w:t>
      </w:r>
    </w:p>
    <w:p w14:paraId="7A27A58E" w14:textId="14103DE5" w:rsidR="00CD34DF" w:rsidRDefault="00C96B83" w:rsidP="00CD34DF">
      <w:pPr>
        <w:pStyle w:val="TF"/>
        <w:numPr>
          <w:ilvl w:val="0"/>
          <w:numId w:val="6"/>
        </w:numPr>
        <w:jc w:val="left"/>
        <w:rPr>
          <w:rFonts w:ascii="Times New Roman" w:hAnsi="Times New Roman"/>
          <w:b w:val="0"/>
        </w:rPr>
      </w:pPr>
      <w:r>
        <w:rPr>
          <w:rFonts w:ascii="Times New Roman" w:hAnsi="Times New Roman"/>
          <w:b w:val="0"/>
        </w:rPr>
        <w:lastRenderedPageBreak/>
        <w:t>Both n</w:t>
      </w:r>
      <w:r w:rsidR="00CD34DF">
        <w:rPr>
          <w:rFonts w:ascii="Times New Roman" w:hAnsi="Times New Roman"/>
          <w:b w:val="0"/>
        </w:rPr>
        <w:t>etwork entities are capable of generating ASN.1</w:t>
      </w:r>
      <w:r w:rsidR="00C95B45">
        <w:rPr>
          <w:rFonts w:ascii="Times New Roman" w:hAnsi="Times New Roman"/>
          <w:b w:val="0"/>
        </w:rPr>
        <w:t xml:space="preserve"> related to their own operation (i.e. M-RRC for LTE and S-RRC for NR)</w:t>
      </w:r>
      <w:r w:rsidR="00412CBE">
        <w:rPr>
          <w:rFonts w:ascii="Times New Roman" w:hAnsi="Times New Roman"/>
          <w:b w:val="0"/>
        </w:rPr>
        <w:t>.</w:t>
      </w:r>
    </w:p>
    <w:p w14:paraId="7A27A58F" w14:textId="38E3508A" w:rsidR="006772FE" w:rsidRPr="00637867" w:rsidRDefault="006772FE" w:rsidP="00CD34DF">
      <w:pPr>
        <w:pStyle w:val="TF"/>
        <w:numPr>
          <w:ilvl w:val="0"/>
          <w:numId w:val="6"/>
        </w:numPr>
        <w:jc w:val="left"/>
        <w:rPr>
          <w:rFonts w:ascii="Times New Roman" w:hAnsi="Times New Roman"/>
          <w:b w:val="0"/>
        </w:rPr>
      </w:pPr>
      <w:r>
        <w:rPr>
          <w:rFonts w:ascii="Times New Roman" w:hAnsi="Times New Roman"/>
          <w:b w:val="0"/>
        </w:rPr>
        <w:t>NR RRC in the SgNB is capable of formatting NR RRC PDU(s)</w:t>
      </w:r>
      <w:r w:rsidR="00C95B45">
        <w:rPr>
          <w:rFonts w:ascii="Times New Roman" w:hAnsi="Times New Roman"/>
          <w:b w:val="0"/>
        </w:rPr>
        <w:t xml:space="preserve"> that UE can process directly (i.e. without</w:t>
      </w:r>
      <w:r w:rsidR="00852243">
        <w:rPr>
          <w:rFonts w:ascii="Times New Roman" w:hAnsi="Times New Roman"/>
          <w:b w:val="0"/>
        </w:rPr>
        <w:t xml:space="preserve"> any </w:t>
      </w:r>
      <w:r w:rsidR="00C95B45">
        <w:rPr>
          <w:rFonts w:ascii="Times New Roman" w:hAnsi="Times New Roman"/>
          <w:b w:val="0"/>
        </w:rPr>
        <w:t xml:space="preserve">processing </w:t>
      </w:r>
      <w:r w:rsidR="00852243">
        <w:rPr>
          <w:rFonts w:ascii="Times New Roman" w:hAnsi="Times New Roman"/>
          <w:b w:val="0"/>
        </w:rPr>
        <w:t>from LTE RRC</w:t>
      </w:r>
      <w:r w:rsidR="00C95B45">
        <w:rPr>
          <w:rFonts w:ascii="Times New Roman" w:hAnsi="Times New Roman"/>
          <w:b w:val="0"/>
        </w:rPr>
        <w:t>)</w:t>
      </w:r>
      <w:r w:rsidR="00852243">
        <w:rPr>
          <w:rFonts w:ascii="Times New Roman" w:hAnsi="Times New Roman"/>
          <w:b w:val="0"/>
        </w:rPr>
        <w:t>.</w:t>
      </w:r>
    </w:p>
    <w:p w14:paraId="0E12A7DC" w14:textId="618AEF84" w:rsidR="00CD5DA4" w:rsidRDefault="00372F65" w:rsidP="000E12C8">
      <w:pPr>
        <w:pStyle w:val="B1"/>
        <w:ind w:left="0" w:firstLine="0"/>
      </w:pPr>
      <w:r>
        <w:t xml:space="preserve">It can immediately </w:t>
      </w:r>
      <w:r w:rsidR="00C96B83">
        <w:t xml:space="preserve">be </w:t>
      </w:r>
      <w:r>
        <w:t xml:space="preserve">seen from Figure 2, that any change in </w:t>
      </w:r>
      <w:r w:rsidR="00C96B83">
        <w:t xml:space="preserve">the </w:t>
      </w:r>
      <w:r w:rsidR="009A03A4">
        <w:t>Type I</w:t>
      </w:r>
      <w:r>
        <w:t xml:space="preserve"> </w:t>
      </w:r>
      <w:r w:rsidR="00412CBE">
        <w:t xml:space="preserve">NR </w:t>
      </w:r>
      <w:r>
        <w:t xml:space="preserve">configuration may be triggered by the NR RRC by formatting a NR RRC PDU </w:t>
      </w:r>
      <w:r w:rsidR="00145903">
        <w:t xml:space="preserve">and transmitting it </w:t>
      </w:r>
      <w:r>
        <w:t xml:space="preserve">towards the UE. </w:t>
      </w:r>
      <w:r w:rsidR="00CD5DA4">
        <w:t>Since th</w:t>
      </w:r>
      <w:r w:rsidR="00145903">
        <w:t>is</w:t>
      </w:r>
      <w:r w:rsidR="00CD5DA4">
        <w:t xml:space="preserve"> RRC PDU does not concern </w:t>
      </w:r>
      <w:r>
        <w:t>LTE</w:t>
      </w:r>
      <w:r w:rsidR="00CD5DA4">
        <w:t xml:space="preserve"> configuration</w:t>
      </w:r>
      <w:r>
        <w:t>, i</w:t>
      </w:r>
      <w:r w:rsidR="00D77AFA">
        <w:t>t makes no difference</w:t>
      </w:r>
      <w:r>
        <w:t xml:space="preserve"> </w:t>
      </w:r>
      <w:r w:rsidR="00D77AFA">
        <w:t xml:space="preserve">whether </w:t>
      </w:r>
      <w:r>
        <w:t xml:space="preserve">the final RRC message is transmitted towards the UE using a direct interface or via the LTE MeNB. However, there is always the additional X2 latency of </w:t>
      </w:r>
      <w:r w:rsidR="00BD1F94">
        <w:t xml:space="preserve">two </w:t>
      </w:r>
      <w:r>
        <w:t xml:space="preserve">transactions in case LTE is used to route the signalling messages in this manner. In addition, there is unnecessary load on the LTE MeNB RRC entity to additionally </w:t>
      </w:r>
      <w:r w:rsidR="00412CBE">
        <w:t>receive and decode the Xx message</w:t>
      </w:r>
      <w:r w:rsidR="00145903">
        <w:t>s</w:t>
      </w:r>
      <w:r w:rsidR="00412CBE">
        <w:t xml:space="preserve"> containing the NR RRC PDU, </w:t>
      </w:r>
      <w:r>
        <w:t>encod</w:t>
      </w:r>
      <w:r w:rsidR="00412CBE">
        <w:t>ing the NR RRC PDU within an LTE RRC message and sending it to the UE</w:t>
      </w:r>
      <w:r>
        <w:t xml:space="preserve">. The main takeaway from this argument is that the LTE RRC does not </w:t>
      </w:r>
      <w:r w:rsidR="00D77AFA">
        <w:t xml:space="preserve">always </w:t>
      </w:r>
      <w:r>
        <w:t>have to be involved</w:t>
      </w:r>
      <w:r w:rsidR="00145903">
        <w:t>,</w:t>
      </w:r>
      <w:r>
        <w:t xml:space="preserve"> and </w:t>
      </w:r>
      <w:r w:rsidR="007526E9">
        <w:t xml:space="preserve">it may appear that </w:t>
      </w:r>
      <w:r w:rsidR="00D77AFA">
        <w:t xml:space="preserve">LTE RRC </w:t>
      </w:r>
      <w:r>
        <w:t xml:space="preserve">cannot be involved </w:t>
      </w:r>
      <w:r w:rsidR="007526E9">
        <w:t xml:space="preserve">e.g. if </w:t>
      </w:r>
      <w:r>
        <w:t xml:space="preserve"> LTE is unaware of </w:t>
      </w:r>
      <w:r w:rsidR="007526E9">
        <w:t xml:space="preserve">some </w:t>
      </w:r>
      <w:r w:rsidR="009A03A4">
        <w:t>Type I</w:t>
      </w:r>
      <w:r>
        <w:t xml:space="preserve"> NR capabilities. </w:t>
      </w:r>
    </w:p>
    <w:p w14:paraId="4A51D245" w14:textId="476BD8CF" w:rsidR="00CD5DA4" w:rsidRDefault="00CD5DA4" w:rsidP="00CD5DA4">
      <w:pPr>
        <w:pStyle w:val="B1"/>
        <w:ind w:left="0" w:firstLine="0"/>
        <w:rPr>
          <w:b/>
        </w:rPr>
      </w:pPr>
      <w:r>
        <w:rPr>
          <w:b/>
        </w:rPr>
        <w:t>Observation 2</w:t>
      </w:r>
      <w:r w:rsidRPr="00F8332F">
        <w:rPr>
          <w:b/>
        </w:rPr>
        <w:t xml:space="preserve">: </w:t>
      </w:r>
      <w:r>
        <w:rPr>
          <w:b/>
        </w:rPr>
        <w:t xml:space="preserve">Changes to </w:t>
      </w:r>
      <w:r w:rsidR="00A76BAB">
        <w:rPr>
          <w:b/>
        </w:rPr>
        <w:t xml:space="preserve">(at least </w:t>
      </w:r>
      <w:r>
        <w:rPr>
          <w:b/>
        </w:rPr>
        <w:t xml:space="preserve">the </w:t>
      </w:r>
      <w:r w:rsidR="009A03A4">
        <w:rPr>
          <w:b/>
        </w:rPr>
        <w:t>Type I</w:t>
      </w:r>
      <w:r w:rsidR="00A76BAB">
        <w:rPr>
          <w:b/>
        </w:rPr>
        <w:t>)</w:t>
      </w:r>
      <w:r>
        <w:rPr>
          <w:b/>
        </w:rPr>
        <w:t xml:space="preserve"> NR configuration </w:t>
      </w:r>
      <w:r w:rsidR="00A76BAB">
        <w:rPr>
          <w:b/>
        </w:rPr>
        <w:t>c</w:t>
      </w:r>
      <w:r w:rsidR="00723BFA">
        <w:rPr>
          <w:b/>
        </w:rPr>
        <w:t>an</w:t>
      </w:r>
      <w:r w:rsidR="00A76BAB">
        <w:rPr>
          <w:b/>
        </w:rPr>
        <w:t xml:space="preserve"> be done with </w:t>
      </w:r>
      <w:r>
        <w:rPr>
          <w:b/>
        </w:rPr>
        <w:t xml:space="preserve"> direct SgNB RRC signalling.</w:t>
      </w:r>
    </w:p>
    <w:p w14:paraId="7A27A590" w14:textId="0AE7A567" w:rsidR="00CD4C7B" w:rsidRDefault="007526E9" w:rsidP="000E12C8">
      <w:pPr>
        <w:pStyle w:val="B1"/>
        <w:ind w:left="0" w:firstLine="0"/>
      </w:pPr>
      <w:r>
        <w:t xml:space="preserve">Further, </w:t>
      </w:r>
      <w:r w:rsidR="00372F65" w:rsidRPr="00372F65">
        <w:t xml:space="preserve"> </w:t>
      </w:r>
      <w:r>
        <w:t xml:space="preserve">having a </w:t>
      </w:r>
      <w:r w:rsidR="00372F65" w:rsidRPr="00372F65">
        <w:t xml:space="preserve">direct signalling path between the </w:t>
      </w:r>
      <w:r w:rsidR="00372F65">
        <w:t>S</w:t>
      </w:r>
      <w:r w:rsidR="00372F65" w:rsidRPr="00372F65">
        <w:t xml:space="preserve">gNB and the UE </w:t>
      </w:r>
      <w:r w:rsidR="00372F65">
        <w:t>is</w:t>
      </w:r>
      <w:r w:rsidR="00372F65" w:rsidRPr="00372F65">
        <w:t xml:space="preserve"> beneficial to allow signalling transactions</w:t>
      </w:r>
      <w:r w:rsidR="00372F65">
        <w:t xml:space="preserve"> to</w:t>
      </w:r>
      <w:r w:rsidR="00372F65" w:rsidRPr="00372F65">
        <w:t xml:space="preserve"> exploit the lower latency of the NR interface. In addition, </w:t>
      </w:r>
      <w:r w:rsidR="007B3A09">
        <w:t xml:space="preserve">intra SgNB </w:t>
      </w:r>
      <w:r w:rsidR="00372F65" w:rsidRPr="00372F65">
        <w:t xml:space="preserve">mobility procedures </w:t>
      </w:r>
      <w:r w:rsidR="007B3A09">
        <w:t>causing no changes to MeNB</w:t>
      </w:r>
      <w:r w:rsidR="00723BFA">
        <w:t xml:space="preserve"> </w:t>
      </w:r>
      <w:r w:rsidR="00372F65" w:rsidRPr="00372F65">
        <w:t xml:space="preserve">may be executed with lower latency. One </w:t>
      </w:r>
      <w:r w:rsidR="007B3A09">
        <w:t xml:space="preserve">other </w:t>
      </w:r>
      <w:r w:rsidR="00372F65" w:rsidRPr="00372F65">
        <w:t>example is the tuning of beamforming measurements which may benefit from the lower configuration latency.</w:t>
      </w:r>
    </w:p>
    <w:p w14:paraId="3634942C" w14:textId="77777777" w:rsidR="00CD5DA4" w:rsidRDefault="001F4768" w:rsidP="000E12C8">
      <w:pPr>
        <w:pStyle w:val="B1"/>
        <w:ind w:left="0" w:firstLine="0"/>
        <w:rPr>
          <w:b/>
        </w:rPr>
      </w:pPr>
      <w:r>
        <w:rPr>
          <w:b/>
        </w:rPr>
        <w:t xml:space="preserve">Observation </w:t>
      </w:r>
      <w:r w:rsidR="00CD5DA4">
        <w:rPr>
          <w:b/>
        </w:rPr>
        <w:t>3</w:t>
      </w:r>
      <w:r>
        <w:rPr>
          <w:b/>
        </w:rPr>
        <w:t xml:space="preserve">: </w:t>
      </w:r>
      <w:r w:rsidR="000D7776">
        <w:rPr>
          <w:b/>
        </w:rPr>
        <w:t>D</w:t>
      </w:r>
      <w:r w:rsidR="00CD5DA4">
        <w:rPr>
          <w:b/>
        </w:rPr>
        <w:t>irect SgNB RRC signalling has latency benefits over indirect MeNB RRC signalling.</w:t>
      </w:r>
    </w:p>
    <w:p w14:paraId="3BB9C138" w14:textId="5F272EB5" w:rsidR="00901114" w:rsidRDefault="000D7776" w:rsidP="000E12C8">
      <w:pPr>
        <w:pStyle w:val="B1"/>
        <w:ind w:left="0" w:firstLine="0"/>
      </w:pPr>
      <w:r>
        <w:t xml:space="preserve">The lower latency benefit is the same for </w:t>
      </w:r>
      <w:r w:rsidR="009A03A4">
        <w:t>Type I</w:t>
      </w:r>
      <w:r w:rsidR="00723BFA">
        <w:t xml:space="preserve">, </w:t>
      </w:r>
      <w:r w:rsidR="009A03A4">
        <w:t>Type II</w:t>
      </w:r>
      <w:r w:rsidR="00723BFA">
        <w:t xml:space="preserve">, </w:t>
      </w:r>
      <w:r w:rsidR="009A03A4">
        <w:t>Type III</w:t>
      </w:r>
      <w:r>
        <w:t xml:space="preserve"> reconfigurations, but for configurations involving </w:t>
      </w:r>
      <w:r w:rsidR="009A03A4">
        <w:t>Type II</w:t>
      </w:r>
      <w:r>
        <w:t xml:space="preserve">/C, some coordination between MeNB and SgNB is needed. </w:t>
      </w:r>
      <w:r w:rsidR="00723BFA">
        <w:t xml:space="preserve">Some changes yet may happen according to the already agreed capability limits without re-negotiation.  </w:t>
      </w:r>
    </w:p>
    <w:p w14:paraId="41616122" w14:textId="2B58D039" w:rsidR="00901114" w:rsidRDefault="00901114" w:rsidP="00901114">
      <w:pPr>
        <w:pStyle w:val="B1"/>
        <w:ind w:left="0" w:firstLine="0"/>
        <w:rPr>
          <w:b/>
        </w:rPr>
      </w:pPr>
      <w:r>
        <w:rPr>
          <w:b/>
        </w:rPr>
        <w:t xml:space="preserve">Observation 3b. LTE does not need to be aware of all changes to </w:t>
      </w:r>
      <w:r w:rsidR="009A03A4">
        <w:rPr>
          <w:b/>
        </w:rPr>
        <w:t>Type II</w:t>
      </w:r>
      <w:r>
        <w:rPr>
          <w:b/>
        </w:rPr>
        <w:t xml:space="preserve">/C NR configurations and NR does not need to be aware of all changes to </w:t>
      </w:r>
      <w:r w:rsidR="009A03A4">
        <w:rPr>
          <w:b/>
        </w:rPr>
        <w:t>Type II</w:t>
      </w:r>
      <w:r>
        <w:rPr>
          <w:b/>
        </w:rPr>
        <w:t xml:space="preserve">/C LTE configuration. </w:t>
      </w:r>
    </w:p>
    <w:p w14:paraId="3E70772E" w14:textId="4779696F" w:rsidR="000D7776" w:rsidRPr="00D21FE8" w:rsidRDefault="00723BFA" w:rsidP="000E12C8">
      <w:pPr>
        <w:pStyle w:val="B1"/>
        <w:ind w:left="0" w:firstLine="0"/>
      </w:pPr>
      <w:r>
        <w:t>For th</w:t>
      </w:r>
      <w:r w:rsidR="00901114">
        <w:t>e</w:t>
      </w:r>
      <w:r>
        <w:t xml:space="preserve"> reasons</w:t>
      </w:r>
      <w:r w:rsidR="00901114">
        <w:t xml:space="preserve"> addressed above</w:t>
      </w:r>
      <w:r>
        <w:t xml:space="preserve">, when </w:t>
      </w:r>
      <w:r w:rsidR="000D7776">
        <w:t xml:space="preserve">direct signalling is used, at least in some </w:t>
      </w:r>
      <w:r>
        <w:t xml:space="preserve">procedure responses </w:t>
      </w:r>
      <w:r w:rsidR="000D7776">
        <w:t xml:space="preserve"> the MeNB should be </w:t>
      </w:r>
      <w:r>
        <w:t xml:space="preserve">made </w:t>
      </w:r>
      <w:r w:rsidR="000D7776">
        <w:t xml:space="preserve">aware of the success </w:t>
      </w:r>
      <w:r>
        <w:t xml:space="preserve">or failure </w:t>
      </w:r>
      <w:r w:rsidR="000D7776">
        <w:t xml:space="preserve">of the direct signalling. </w:t>
      </w:r>
    </w:p>
    <w:p w14:paraId="7A27A594" w14:textId="6B20EFEA" w:rsidR="00F8332F" w:rsidRDefault="00CD5DA4" w:rsidP="000E12C8">
      <w:pPr>
        <w:pStyle w:val="B1"/>
        <w:ind w:left="0" w:firstLine="0"/>
        <w:rPr>
          <w:b/>
        </w:rPr>
      </w:pPr>
      <w:r>
        <w:rPr>
          <w:b/>
        </w:rPr>
        <w:t xml:space="preserve">Observation 4: </w:t>
      </w:r>
      <w:r w:rsidR="001F4768">
        <w:rPr>
          <w:b/>
        </w:rPr>
        <w:t xml:space="preserve">From an overall procedural point of view, the master node </w:t>
      </w:r>
      <w:r w:rsidR="00267762">
        <w:rPr>
          <w:b/>
        </w:rPr>
        <w:t xml:space="preserve">may need to </w:t>
      </w:r>
      <w:r w:rsidR="000D7776">
        <w:rPr>
          <w:b/>
        </w:rPr>
        <w:t xml:space="preserve"> be made aware of </w:t>
      </w:r>
      <w:r w:rsidR="001F4768">
        <w:rPr>
          <w:b/>
        </w:rPr>
        <w:t xml:space="preserve">the  success or failure </w:t>
      </w:r>
      <w:r w:rsidR="00267762">
        <w:rPr>
          <w:b/>
        </w:rPr>
        <w:t>response</w:t>
      </w:r>
      <w:r w:rsidR="00723BFA">
        <w:rPr>
          <w:b/>
        </w:rPr>
        <w:t xml:space="preserve"> </w:t>
      </w:r>
      <w:r w:rsidR="001F4768">
        <w:rPr>
          <w:b/>
        </w:rPr>
        <w:t>of the direct SgNB signalling</w:t>
      </w:r>
      <w:r w:rsidR="006E5BD2">
        <w:rPr>
          <w:b/>
        </w:rPr>
        <w:t>, when applicable</w:t>
      </w:r>
      <w:r w:rsidR="00901114">
        <w:rPr>
          <w:b/>
        </w:rPr>
        <w:t xml:space="preserve"> and when useful</w:t>
      </w:r>
      <w:r w:rsidR="001F4768">
        <w:rPr>
          <w:b/>
        </w:rPr>
        <w:t>.</w:t>
      </w:r>
      <w:r w:rsidR="00267762">
        <w:rPr>
          <w:b/>
        </w:rPr>
        <w:t xml:space="preserve"> </w:t>
      </w:r>
      <w:r w:rsidR="00901114">
        <w:rPr>
          <w:b/>
        </w:rPr>
        <w:t>(</w:t>
      </w:r>
      <w:r w:rsidR="00267762">
        <w:rPr>
          <w:b/>
        </w:rPr>
        <w:t xml:space="preserve">This can be expected to be specified </w:t>
      </w:r>
      <w:r w:rsidR="0063403F">
        <w:rPr>
          <w:b/>
        </w:rPr>
        <w:t xml:space="preserve">as </w:t>
      </w:r>
      <w:r w:rsidR="00267762">
        <w:rPr>
          <w:b/>
        </w:rPr>
        <w:t>p</w:t>
      </w:r>
      <w:r w:rsidR="0063403F">
        <w:rPr>
          <w:b/>
        </w:rPr>
        <w:t>a</w:t>
      </w:r>
      <w:r w:rsidR="00267762">
        <w:rPr>
          <w:b/>
        </w:rPr>
        <w:t>rt of the procedure in the WI phase.</w:t>
      </w:r>
      <w:r w:rsidR="00901114">
        <w:rPr>
          <w:b/>
        </w:rPr>
        <w:t>)</w:t>
      </w:r>
    </w:p>
    <w:p w14:paraId="7A27A595" w14:textId="77777777" w:rsidR="00CD4C7B" w:rsidRPr="006E13D1" w:rsidRDefault="00CD4C7B" w:rsidP="00CD4C7B">
      <w:pPr>
        <w:pStyle w:val="Heading2"/>
      </w:pPr>
      <w:r w:rsidRPr="006E13D1">
        <w:lastRenderedPageBreak/>
        <w:t>3.2</w:t>
      </w:r>
      <w:r w:rsidRPr="006E13D1">
        <w:tab/>
      </w:r>
      <w:r w:rsidR="00B61040">
        <w:t>Mechanism of the direct SgNB signalling</w:t>
      </w:r>
    </w:p>
    <w:p w14:paraId="37FE0957" w14:textId="77777777" w:rsidR="000D7776" w:rsidRDefault="000D7776" w:rsidP="000D7776">
      <w:pPr>
        <w:jc w:val="center"/>
      </w:pPr>
      <w:r>
        <w:object w:dxaOrig="9089" w:dyaOrig="7747" w14:anchorId="03FDBB10">
          <v:shape id="_x0000_i1027" type="#_x0000_t75" style="width:425.55pt;height:363.7pt" o:ole="">
            <v:imagedata r:id="rId14" o:title=""/>
          </v:shape>
          <o:OLEObject Type="Embed" ProgID="Visio.Drawing.11" ShapeID="_x0000_i1027" DrawAspect="Content" ObjectID="_1545154805" r:id="rId15"/>
        </w:object>
      </w:r>
    </w:p>
    <w:p w14:paraId="7A27A597" w14:textId="77777777" w:rsidR="00B86B06" w:rsidRDefault="00B86B06" w:rsidP="00B86B06">
      <w:pPr>
        <w:jc w:val="center"/>
        <w:rPr>
          <w:rFonts w:ascii="Arial" w:hAnsi="Arial"/>
          <w:b/>
        </w:rPr>
      </w:pPr>
      <w:r>
        <w:rPr>
          <w:rFonts w:ascii="Arial" w:hAnsi="Arial"/>
          <w:b/>
        </w:rPr>
        <w:t>Figure 3</w:t>
      </w:r>
      <w:r w:rsidRPr="00404B6D">
        <w:rPr>
          <w:rFonts w:ascii="Arial" w:hAnsi="Arial"/>
          <w:b/>
        </w:rPr>
        <w:t xml:space="preserve">: </w:t>
      </w:r>
      <w:r>
        <w:rPr>
          <w:rFonts w:ascii="Arial" w:hAnsi="Arial"/>
          <w:b/>
        </w:rPr>
        <w:t>Logical model of RRC configuration routing with MeNB (eNB) and NR gNB</w:t>
      </w:r>
    </w:p>
    <w:p w14:paraId="7A27A598" w14:textId="580FEF06" w:rsidR="00B86B06" w:rsidRDefault="00B86B06" w:rsidP="00CD4C7B">
      <w:r>
        <w:t xml:space="preserve">Figure 3 describes an example  </w:t>
      </w:r>
      <w:r w:rsidR="007B54B5">
        <w:t xml:space="preserve">of </w:t>
      </w:r>
      <w:r>
        <w:t>RRC configuration exchange</w:t>
      </w:r>
      <w:r w:rsidR="003B63AF">
        <w:t xml:space="preserve"> for three different </w:t>
      </w:r>
      <w:r w:rsidR="00220A8A">
        <w:t>signalling formats</w:t>
      </w:r>
      <w:r w:rsidR="003B63AF">
        <w:t>, and  i</w:t>
      </w:r>
      <w:r>
        <w:t>t is assumed that SRB resources are configured from both the eNB and gNB between the network and the UE</w:t>
      </w:r>
      <w:r w:rsidR="003B63AF">
        <w:t>:</w:t>
      </w:r>
    </w:p>
    <w:p w14:paraId="7A27A599" w14:textId="0EDA3E2B" w:rsidR="00B86B06" w:rsidRDefault="00B86B06" w:rsidP="00B86B06">
      <w:r w:rsidRPr="006D2737">
        <w:rPr>
          <w:b/>
        </w:rPr>
        <w:t>Format 1</w:t>
      </w:r>
      <w:r>
        <w:t xml:space="preserve">: </w:t>
      </w:r>
      <w:r w:rsidR="000D7776">
        <w:t xml:space="preserve">Sent from the eNB to the UE, </w:t>
      </w:r>
      <w:r>
        <w:t xml:space="preserve">containing only LTE specific configuration. </w:t>
      </w:r>
      <w:r w:rsidR="00220A8A">
        <w:t>Baseline for LTE-only operation</w:t>
      </w:r>
      <w:r>
        <w:t>.</w:t>
      </w:r>
    </w:p>
    <w:p w14:paraId="7A27A59A" w14:textId="6768F9D6" w:rsidR="00B86B06" w:rsidRDefault="00B86B06" w:rsidP="00B86B06">
      <w:r w:rsidRPr="006D2737">
        <w:rPr>
          <w:b/>
        </w:rPr>
        <w:t>Format 2:</w:t>
      </w:r>
      <w:r>
        <w:t xml:space="preserve"> </w:t>
      </w:r>
      <w:r w:rsidR="00BF53AA">
        <w:t>Sent</w:t>
      </w:r>
      <w:r w:rsidR="000D7776">
        <w:t xml:space="preserve"> from </w:t>
      </w:r>
      <w:r>
        <w:t>the gNB</w:t>
      </w:r>
      <w:r w:rsidR="000D7776">
        <w:t xml:space="preserve"> to the UE,</w:t>
      </w:r>
      <w:r>
        <w:t xml:space="preserve"> contain</w:t>
      </w:r>
      <w:r w:rsidR="000D7776">
        <w:t>ing</w:t>
      </w:r>
      <w:r>
        <w:t xml:space="preserve"> NR only configurations.</w:t>
      </w:r>
    </w:p>
    <w:p w14:paraId="7A27A59B" w14:textId="3B1A4F9A" w:rsidR="00B86B06" w:rsidRDefault="00B86B06" w:rsidP="00B86B06">
      <w:r w:rsidRPr="006D2737">
        <w:rPr>
          <w:b/>
        </w:rPr>
        <w:t>Format 3:</w:t>
      </w:r>
      <w:r>
        <w:t xml:space="preserve"> </w:t>
      </w:r>
      <w:r w:rsidR="00BF53AA">
        <w:t xml:space="preserve">Sent from eNB to the UE, </w:t>
      </w:r>
      <w:r>
        <w:t xml:space="preserve">containing </w:t>
      </w:r>
      <w:r w:rsidR="00BF53AA">
        <w:t xml:space="preserve">both </w:t>
      </w:r>
      <w:r>
        <w:t>LTE and NR configurations</w:t>
      </w:r>
      <w:r w:rsidR="00BF53AA">
        <w:t xml:space="preserve"> (i.e. NR </w:t>
      </w:r>
      <w:r>
        <w:t xml:space="preserve">RRC </w:t>
      </w:r>
      <w:r w:rsidR="00BF53AA">
        <w:t xml:space="preserve">PDU from SgNB is routed via </w:t>
      </w:r>
      <w:r>
        <w:t xml:space="preserve">the </w:t>
      </w:r>
      <w:r w:rsidR="00BF53AA">
        <w:t>Me</w:t>
      </w:r>
      <w:r>
        <w:t>NB</w:t>
      </w:r>
      <w:r w:rsidR="007B54B5">
        <w:t xml:space="preserve"> to the UE</w:t>
      </w:r>
      <w:r w:rsidR="00BF53AA">
        <w:t>)</w:t>
      </w:r>
      <w:r>
        <w:t>.</w:t>
      </w:r>
    </w:p>
    <w:p w14:paraId="46A79A5C" w14:textId="6ADAB752" w:rsidR="003B63AF" w:rsidRDefault="00A76BAB" w:rsidP="00B86B06">
      <w:r>
        <w:t xml:space="preserve">Obviously, format 1 and </w:t>
      </w:r>
      <w:r w:rsidR="00220A8A">
        <w:t xml:space="preserve">format </w:t>
      </w:r>
      <w:r>
        <w:t>3 correspond to existing LTE model (format 1 to normal LTE and format 3 to LTE DC)</w:t>
      </w:r>
      <w:r w:rsidR="003B63AF">
        <w:t xml:space="preserve">, and SRB format 2 corresponds to the direct signalling. </w:t>
      </w:r>
      <w:r w:rsidR="00BD1F94">
        <w:t>However, there are some design considerations for this to consider</w:t>
      </w:r>
      <w:r w:rsidR="00220A8A">
        <w:t>, which we do in the following section</w:t>
      </w:r>
      <w:r w:rsidR="00BD1F94">
        <w:t>:</w:t>
      </w:r>
    </w:p>
    <w:p w14:paraId="134BC6AB" w14:textId="30D3F519" w:rsidR="00BD1F94" w:rsidRDefault="00BD1F94" w:rsidP="00294D10">
      <w:pPr>
        <w:pStyle w:val="ListParagraph"/>
        <w:numPr>
          <w:ilvl w:val="0"/>
          <w:numId w:val="9"/>
        </w:numPr>
      </w:pPr>
      <w:r>
        <w:t>How is security handled?</w:t>
      </w:r>
    </w:p>
    <w:p w14:paraId="779F2ED1" w14:textId="690AD91E" w:rsidR="00BD1F94" w:rsidRDefault="00BD1F94" w:rsidP="00294D10">
      <w:pPr>
        <w:pStyle w:val="ListParagraph"/>
        <w:numPr>
          <w:ilvl w:val="0"/>
          <w:numId w:val="9"/>
        </w:numPr>
      </w:pPr>
      <w:r>
        <w:t>How does signalling diversity work?</w:t>
      </w:r>
    </w:p>
    <w:p w14:paraId="603843B1" w14:textId="6989B770" w:rsidR="00BD1F94" w:rsidRDefault="00BD1F94" w:rsidP="00294D10">
      <w:pPr>
        <w:pStyle w:val="ListParagraph"/>
        <w:numPr>
          <w:ilvl w:val="0"/>
          <w:numId w:val="9"/>
        </w:numPr>
      </w:pPr>
      <w:r>
        <w:t>What kind of failure handling is needed?</w:t>
      </w:r>
    </w:p>
    <w:p w14:paraId="76680CFF" w14:textId="10C78043" w:rsidR="00BD1F94" w:rsidRDefault="00BD1F94" w:rsidP="00294D10">
      <w:pPr>
        <w:pStyle w:val="ListParagraph"/>
        <w:numPr>
          <w:ilvl w:val="0"/>
          <w:numId w:val="9"/>
        </w:numPr>
      </w:pPr>
      <w:r>
        <w:t>How does UE identify the message to be only relevant for NR?</w:t>
      </w:r>
    </w:p>
    <w:p w14:paraId="45415F5B" w14:textId="1FC3E225" w:rsidR="003B63AF" w:rsidRDefault="003B63AF" w:rsidP="00294D10">
      <w:pPr>
        <w:pStyle w:val="Heading2"/>
      </w:pPr>
      <w:r w:rsidRPr="006E13D1">
        <w:t>3.</w:t>
      </w:r>
      <w:r>
        <w:t>3</w:t>
      </w:r>
      <w:r w:rsidRPr="006E13D1">
        <w:tab/>
      </w:r>
      <w:r>
        <w:t>Specifying direct SgNB signalling</w:t>
      </w:r>
    </w:p>
    <w:p w14:paraId="7A27A59D" w14:textId="5E4E203F" w:rsidR="00276AD9" w:rsidRPr="00640E9E" w:rsidRDefault="003B63AF" w:rsidP="00294D10">
      <w:pPr>
        <w:rPr>
          <w:b/>
        </w:rPr>
      </w:pPr>
      <w:r>
        <w:t xml:space="preserve">We consider the </w:t>
      </w:r>
      <w:r w:rsidR="00276AD9">
        <w:t>issues in supporting the direct sig</w:t>
      </w:r>
      <w:r w:rsidR="008C3D29">
        <w:t>nalling between SgNB and the UE</w:t>
      </w:r>
      <w:r>
        <w:t xml:space="preserve"> more below in the context of a generic </w:t>
      </w:r>
      <w:r w:rsidR="008C3D29">
        <w:t>signalling fr</w:t>
      </w:r>
      <w:r w:rsidR="00195473">
        <w:t>amework</w:t>
      </w:r>
      <w:r w:rsidR="008C3D29">
        <w:t>:</w:t>
      </w:r>
    </w:p>
    <w:p w14:paraId="7A27A59E" w14:textId="464E8821" w:rsidR="00276AD9" w:rsidRDefault="003B63AF" w:rsidP="003B63AF">
      <w:pPr>
        <w:pStyle w:val="ListParagraph"/>
        <w:numPr>
          <w:ilvl w:val="1"/>
          <w:numId w:val="7"/>
        </w:numPr>
      </w:pPr>
      <w:r>
        <w:lastRenderedPageBreak/>
        <w:t xml:space="preserve">The PDCP would be part of the UE SRB configuration, and would be decided by SgNB. The </w:t>
      </w:r>
      <w:r w:rsidR="00276AD9">
        <w:t xml:space="preserve">set of SRBs between the SgNB and the UE </w:t>
      </w:r>
      <w:r>
        <w:t xml:space="preserve">is </w:t>
      </w:r>
      <w:r w:rsidR="00276AD9">
        <w:t>configured during the initial configuration (</w:t>
      </w:r>
      <w:r w:rsidR="00BF53AA">
        <w:t>i.e. “</w:t>
      </w:r>
      <w:r w:rsidR="00276AD9">
        <w:t>S</w:t>
      </w:r>
      <w:r w:rsidR="00BF53AA">
        <w:t>g</w:t>
      </w:r>
      <w:r w:rsidR="00276AD9">
        <w:t>NB addition</w:t>
      </w:r>
      <w:r w:rsidR="00BF53AA">
        <w:t>”</w:t>
      </w:r>
      <w:r w:rsidR="00276AD9">
        <w:t xml:space="preserve"> procedure). </w:t>
      </w:r>
      <w:r>
        <w:t xml:space="preserve"> </w:t>
      </w:r>
      <w:r w:rsidR="00276AD9">
        <w:t xml:space="preserve">These SRBs may also be used to support signalling diversity. </w:t>
      </w:r>
    </w:p>
    <w:p w14:paraId="7A27A59F" w14:textId="71FED297" w:rsidR="00276AD9" w:rsidRDefault="00276AD9" w:rsidP="00276AD9">
      <w:pPr>
        <w:pStyle w:val="ListParagraph"/>
        <w:numPr>
          <w:ilvl w:val="1"/>
          <w:numId w:val="7"/>
        </w:numPr>
      </w:pPr>
      <w:r>
        <w:t xml:space="preserve">The </w:t>
      </w:r>
      <w:r w:rsidR="00852243">
        <w:t xml:space="preserve">SgNB </w:t>
      </w:r>
      <w:r>
        <w:t>SRBs</w:t>
      </w:r>
      <w:r w:rsidR="001B1E1C">
        <w:t xml:space="preserve"> failure</w:t>
      </w:r>
      <w:r>
        <w:t xml:space="preserve"> are </w:t>
      </w:r>
      <w:r w:rsidR="001B1E1C">
        <w:t xml:space="preserve">reported </w:t>
      </w:r>
      <w:r>
        <w:t>in the same</w:t>
      </w:r>
      <w:r w:rsidR="00F537ED">
        <w:t xml:space="preserve"> manner as the data radio bearers</w:t>
      </w:r>
      <w:r w:rsidR="00BD1F94">
        <w:t xml:space="preserve">; </w:t>
      </w:r>
      <w:r w:rsidR="00BD1F94" w:rsidRPr="00294D10">
        <w:rPr>
          <w:lang w:val="en-US"/>
        </w:rPr>
        <w:t xml:space="preserve">E.g. </w:t>
      </w:r>
      <w:r w:rsidR="00F537ED">
        <w:t xml:space="preserve">the UE could report the SGC radio link failure </w:t>
      </w:r>
      <w:r w:rsidR="007B54B5">
        <w:t xml:space="preserve">(S-RLF) </w:t>
      </w:r>
      <w:r w:rsidR="00F537ED">
        <w:t>to the MeNB</w:t>
      </w:r>
      <w:r w:rsidR="00BD1F94">
        <w:t xml:space="preserve"> for added reliability</w:t>
      </w:r>
      <w:r w:rsidR="00F537ED">
        <w:t>.</w:t>
      </w:r>
    </w:p>
    <w:p w14:paraId="7A27A5A0" w14:textId="5ADE07A3" w:rsidR="00276AD9" w:rsidRPr="00640E9E" w:rsidRDefault="00276AD9" w:rsidP="00276AD9">
      <w:pPr>
        <w:pStyle w:val="ListParagraph"/>
        <w:numPr>
          <w:ilvl w:val="0"/>
          <w:numId w:val="7"/>
        </w:numPr>
        <w:rPr>
          <w:b/>
        </w:rPr>
      </w:pPr>
      <w:r w:rsidRPr="00640E9E">
        <w:rPr>
          <w:b/>
        </w:rPr>
        <w:t>Securi</w:t>
      </w:r>
      <w:r w:rsidR="00167241">
        <w:rPr>
          <w:b/>
        </w:rPr>
        <w:t xml:space="preserve">ty </w:t>
      </w:r>
      <w:r w:rsidR="003B63AF">
        <w:rPr>
          <w:b/>
        </w:rPr>
        <w:t xml:space="preserve">is needed </w:t>
      </w:r>
      <w:r w:rsidR="00167241">
        <w:rPr>
          <w:b/>
        </w:rPr>
        <w:t>for</w:t>
      </w:r>
      <w:r w:rsidRPr="00640E9E">
        <w:rPr>
          <w:b/>
        </w:rPr>
        <w:t xml:space="preserve"> the RRC messages between the SgNB and the UE</w:t>
      </w:r>
    </w:p>
    <w:p w14:paraId="12D7DCFF" w14:textId="5BFF921B" w:rsidR="003B63AF" w:rsidRDefault="003B63AF" w:rsidP="00640E9E">
      <w:pPr>
        <w:pStyle w:val="ListParagraph"/>
        <w:numPr>
          <w:ilvl w:val="1"/>
          <w:numId w:val="7"/>
        </w:numPr>
      </w:pPr>
      <w:r>
        <w:t>As with LTE, the RRC messages are ciphered and integrity protected. The same should apply for any messages sent directly from SgNB to UE.</w:t>
      </w:r>
    </w:p>
    <w:p w14:paraId="7A27A5A1" w14:textId="57E1E6DC" w:rsidR="00640E9E" w:rsidRDefault="00640E9E" w:rsidP="00640E9E">
      <w:pPr>
        <w:pStyle w:val="ListParagraph"/>
        <w:numPr>
          <w:ilvl w:val="1"/>
          <w:numId w:val="7"/>
        </w:numPr>
      </w:pPr>
      <w:r>
        <w:t>When the PDCP entity at the SgNB is configured, the direct signalling messages could be protected</w:t>
      </w:r>
      <w:r w:rsidR="007B54B5">
        <w:t xml:space="preserve"> (ciphered and integrity protected) </w:t>
      </w:r>
      <w:r>
        <w:t xml:space="preserve"> by the </w:t>
      </w:r>
      <w:r w:rsidR="003B63AF">
        <w:t>SgNB</w:t>
      </w:r>
      <w:r>
        <w:t xml:space="preserve"> </w:t>
      </w:r>
      <w:r w:rsidR="00167241">
        <w:t xml:space="preserve">security </w:t>
      </w:r>
      <w:r>
        <w:t>key</w:t>
      </w:r>
      <w:r w:rsidR="00167241">
        <w:t>s</w:t>
      </w:r>
      <w:r w:rsidR="003B63AF">
        <w:t xml:space="preserve"> (e.g. similarly as with SCG bearers for LTE DC)</w:t>
      </w:r>
      <w:r>
        <w:t>.</w:t>
      </w:r>
    </w:p>
    <w:p w14:paraId="7A27A5A2" w14:textId="6595CA7F" w:rsidR="00640E9E" w:rsidRDefault="003B63AF" w:rsidP="00640E9E">
      <w:pPr>
        <w:pStyle w:val="ListParagraph"/>
        <w:numPr>
          <w:ilvl w:val="1"/>
          <w:numId w:val="7"/>
        </w:numPr>
      </w:pPr>
      <w:r>
        <w:t xml:space="preserve">For SRB messages sent with RRC diversity (e.g. LTE RRC messages can be sent over LTE, NR or both), </w:t>
      </w:r>
      <w:r w:rsidR="00640E9E">
        <w:t xml:space="preserve">the PDCP entity at the SgNB </w:t>
      </w:r>
      <w:r>
        <w:t xml:space="preserve">would only be </w:t>
      </w:r>
      <w:r w:rsidR="00640E9E">
        <w:t>configured</w:t>
      </w:r>
      <w:r>
        <w:t xml:space="preserve"> at MeNB, </w:t>
      </w:r>
      <w:r w:rsidR="00640E9E">
        <w:t xml:space="preserve"> </w:t>
      </w:r>
      <w:r>
        <w:t xml:space="preserve">and </w:t>
      </w:r>
      <w:r w:rsidR="00640E9E">
        <w:t>the direct signalling messages could be protected by the master node keying material.</w:t>
      </w:r>
    </w:p>
    <w:p w14:paraId="7A27A5A3" w14:textId="3E8666F8" w:rsidR="00276AD9" w:rsidRDefault="003B63AF" w:rsidP="00276AD9">
      <w:pPr>
        <w:pStyle w:val="ListParagraph"/>
        <w:numPr>
          <w:ilvl w:val="0"/>
          <w:numId w:val="7"/>
        </w:numPr>
        <w:rPr>
          <w:b/>
        </w:rPr>
      </w:pPr>
      <w:r>
        <w:rPr>
          <w:b/>
        </w:rPr>
        <w:t xml:space="preserve">The RRC </w:t>
      </w:r>
      <w:r w:rsidR="00276AD9" w:rsidRPr="00640E9E">
        <w:rPr>
          <w:b/>
        </w:rPr>
        <w:t>transaction identifier</w:t>
      </w:r>
      <w:r>
        <w:rPr>
          <w:b/>
        </w:rPr>
        <w:t xml:space="preserve"> needs to be set for each RRC message</w:t>
      </w:r>
    </w:p>
    <w:p w14:paraId="7A27A5A4" w14:textId="757C4E12" w:rsidR="00640E9E" w:rsidRDefault="008C3D29" w:rsidP="00640E9E">
      <w:pPr>
        <w:pStyle w:val="ListParagraph"/>
        <w:numPr>
          <w:ilvl w:val="1"/>
          <w:numId w:val="7"/>
        </w:numPr>
      </w:pPr>
      <w:r>
        <w:t xml:space="preserve">The </w:t>
      </w:r>
      <w:r w:rsidR="00167241">
        <w:t xml:space="preserve">transaction identifier of </w:t>
      </w:r>
      <w:r>
        <w:t xml:space="preserve">RRC message could </w:t>
      </w:r>
      <w:r w:rsidR="00167241">
        <w:t>be specific to the RRC entity (i.e. LTE or NR)</w:t>
      </w:r>
      <w:r>
        <w:t xml:space="preserve">. This indicator </w:t>
      </w:r>
      <w:r w:rsidR="00080FBC">
        <w:t xml:space="preserve">would be </w:t>
      </w:r>
      <w:r>
        <w:t xml:space="preserve">used at the UE side for book-keeping </w:t>
      </w:r>
      <w:r w:rsidR="00080FBC">
        <w:t>or for routing to processing module</w:t>
      </w:r>
      <w:r>
        <w:t>.</w:t>
      </w:r>
    </w:p>
    <w:p w14:paraId="7A27A5A5" w14:textId="40D54810" w:rsidR="00276AD9" w:rsidRDefault="00276AD9" w:rsidP="00276AD9">
      <w:pPr>
        <w:pStyle w:val="ListParagraph"/>
        <w:numPr>
          <w:ilvl w:val="0"/>
          <w:numId w:val="7"/>
        </w:numPr>
        <w:rPr>
          <w:b/>
        </w:rPr>
      </w:pPr>
      <w:r w:rsidRPr="008C3D29">
        <w:rPr>
          <w:b/>
        </w:rPr>
        <w:t>Failure handling of direct signalling message</w:t>
      </w:r>
      <w:r w:rsidR="003B63AF">
        <w:rPr>
          <w:b/>
        </w:rPr>
        <w:t xml:space="preserve"> needs to be specified</w:t>
      </w:r>
    </w:p>
    <w:p w14:paraId="128705EC" w14:textId="0BDB7B61" w:rsidR="00BD1F94" w:rsidRDefault="00BD1F94" w:rsidP="001C6A5E">
      <w:pPr>
        <w:pStyle w:val="ListParagraph"/>
        <w:numPr>
          <w:ilvl w:val="1"/>
          <w:numId w:val="7"/>
        </w:numPr>
      </w:pPr>
      <w:r>
        <w:t>A NR RRC ASN.1 failure would follow similar procedures as with LTE, and could cause e.g. SCG failure.</w:t>
      </w:r>
    </w:p>
    <w:p w14:paraId="678FCBB6" w14:textId="372C2E2D" w:rsidR="00BD1F94" w:rsidRDefault="001C6A5E" w:rsidP="00BD1F94">
      <w:pPr>
        <w:pStyle w:val="ListParagraph"/>
        <w:numPr>
          <w:ilvl w:val="1"/>
          <w:numId w:val="7"/>
        </w:numPr>
      </w:pPr>
      <w:r>
        <w:t>The</w:t>
      </w:r>
      <w:r w:rsidR="002E2657">
        <w:t xml:space="preserve"> transaction identifier </w:t>
      </w:r>
      <w:r w:rsidR="00BD1F94">
        <w:t xml:space="preserve">of the RRC configuration can be used </w:t>
      </w:r>
      <w:r w:rsidR="002E2657">
        <w:t xml:space="preserve">to </w:t>
      </w:r>
      <w:r w:rsidR="00BD1F94">
        <w:t xml:space="preserve">indicate </w:t>
      </w:r>
      <w:r w:rsidR="002E2657">
        <w:t>configuration failures at the UE</w:t>
      </w:r>
      <w:r w:rsidR="00BD1F94">
        <w:t xml:space="preserve"> to the MeNB and SgNB</w:t>
      </w:r>
      <w:r w:rsidR="002E2657">
        <w:t>.</w:t>
      </w:r>
    </w:p>
    <w:p w14:paraId="7A27A5A7" w14:textId="10C3C124" w:rsidR="002E2657" w:rsidRDefault="002E2657" w:rsidP="002E2657">
      <w:pPr>
        <w:pStyle w:val="ListParagraph"/>
        <w:numPr>
          <w:ilvl w:val="0"/>
          <w:numId w:val="7"/>
        </w:numPr>
        <w:rPr>
          <w:b/>
        </w:rPr>
      </w:pPr>
      <w:r w:rsidRPr="002E2657">
        <w:rPr>
          <w:b/>
        </w:rPr>
        <w:t>Elimination of race conditions</w:t>
      </w:r>
      <w:r w:rsidR="003B63AF">
        <w:rPr>
          <w:b/>
        </w:rPr>
        <w:t xml:space="preserve"> should be ensured: UE would only process one RRC message at a time</w:t>
      </w:r>
    </w:p>
    <w:p w14:paraId="150E2CB7" w14:textId="21CDA681" w:rsidR="00BD1F94" w:rsidRDefault="002E2657" w:rsidP="002E2657">
      <w:pPr>
        <w:pStyle w:val="ListParagraph"/>
        <w:numPr>
          <w:ilvl w:val="1"/>
          <w:numId w:val="7"/>
        </w:numPr>
      </w:pPr>
      <w:r>
        <w:t xml:space="preserve">The possibility of race conditions at the UE due to conflicting messages is minimal due to the assumption that the direct signalling will only modify the configuration involving localized capabilities </w:t>
      </w:r>
      <w:r w:rsidR="00BD1F94">
        <w:t>e.g.</w:t>
      </w:r>
      <w:r w:rsidR="00BD1F94" w:rsidDel="00BD1F94">
        <w:t xml:space="preserve"> </w:t>
      </w:r>
      <w:r>
        <w:t>“</w:t>
      </w:r>
      <w:r w:rsidR="009A03A4">
        <w:t>Type I</w:t>
      </w:r>
      <w:r>
        <w:t>”</w:t>
      </w:r>
      <w:r w:rsidR="00BD1F94">
        <w:t xml:space="preserve"> or other cases where there </w:t>
      </w:r>
      <w:r w:rsidR="00294D10">
        <w:t>the nodes are already coordinated as mentioned earlier</w:t>
      </w:r>
      <w:r>
        <w:t xml:space="preserve">. </w:t>
      </w:r>
    </w:p>
    <w:p w14:paraId="5FC6D55B" w14:textId="029B39D1" w:rsidR="00080FBC" w:rsidRDefault="00BD1F94" w:rsidP="00294D10">
      <w:pPr>
        <w:pStyle w:val="ListParagraph"/>
        <w:numPr>
          <w:ilvl w:val="1"/>
          <w:numId w:val="7"/>
        </w:numPr>
      </w:pPr>
      <w:r>
        <w:t>It is also trivial to handle the case</w:t>
      </w:r>
      <w:r w:rsidR="002E2657">
        <w:t xml:space="preserve"> </w:t>
      </w:r>
      <w:r>
        <w:t xml:space="preserve">where </w:t>
      </w:r>
      <w:r w:rsidR="002E2657">
        <w:t xml:space="preserve">the NR </w:t>
      </w:r>
      <w:r>
        <w:t xml:space="preserve">SgNB </w:t>
      </w:r>
      <w:r w:rsidR="002E2657">
        <w:t>update</w:t>
      </w:r>
      <w:r w:rsidR="00080FBC">
        <w:t>s</w:t>
      </w:r>
      <w:r w:rsidR="002E2657">
        <w:t xml:space="preserve"> </w:t>
      </w:r>
      <w:r>
        <w:t xml:space="preserve">the NR </w:t>
      </w:r>
      <w:r w:rsidR="002E2657">
        <w:t xml:space="preserve">configuration while the </w:t>
      </w:r>
      <w:r>
        <w:t xml:space="preserve">MeNB </w:t>
      </w:r>
      <w:r w:rsidR="002E2657">
        <w:t>trigger</w:t>
      </w:r>
      <w:r w:rsidR="00080FBC">
        <w:t>s</w:t>
      </w:r>
      <w:r w:rsidR="002E2657">
        <w:t xml:space="preserve"> a release of the </w:t>
      </w:r>
      <w:r>
        <w:t>LTE-</w:t>
      </w:r>
      <w:r w:rsidR="002E2657">
        <w:t>NR at the same time</w:t>
      </w:r>
      <w:r>
        <w:t xml:space="preserve"> – at the end, the UE will simply have released the NR configuration</w:t>
      </w:r>
      <w:r w:rsidR="002E2657">
        <w:t>.</w:t>
      </w:r>
    </w:p>
    <w:p w14:paraId="7A27A5A9" w14:textId="77777777" w:rsidR="00CE4D4A" w:rsidRPr="006E13D1" w:rsidRDefault="00CE4D4A" w:rsidP="00CE4D4A">
      <w:r>
        <w:rPr>
          <w:b/>
        </w:rPr>
        <w:t>Observation 5: The design issues of the direct signalling from SgNB</w:t>
      </w:r>
      <w:r w:rsidR="002553D9">
        <w:rPr>
          <w:b/>
        </w:rPr>
        <w:t xml:space="preserve"> can be solved by simple extensions to the tight interworking signalling framework.</w:t>
      </w:r>
    </w:p>
    <w:p w14:paraId="7A27A5AA" w14:textId="77777777" w:rsidR="00CD4C7B" w:rsidRPr="006E13D1" w:rsidRDefault="00CD4C7B" w:rsidP="00CD4C7B">
      <w:pPr>
        <w:pStyle w:val="Heading1"/>
      </w:pPr>
      <w:r w:rsidRPr="006E13D1">
        <w:t>4</w:t>
      </w:r>
      <w:r w:rsidRPr="006E13D1">
        <w:tab/>
      </w:r>
      <w:r w:rsidR="00A76468">
        <w:t>Conclusion</w:t>
      </w:r>
    </w:p>
    <w:p w14:paraId="7A27A5AB" w14:textId="3D689974" w:rsidR="002553D9" w:rsidRDefault="00CE4D4A" w:rsidP="00CD4C7B">
      <w:r>
        <w:t xml:space="preserve">In this discussion paper, the RRC aspects </w:t>
      </w:r>
      <w:r w:rsidR="00714EF6">
        <w:t xml:space="preserve">and motivations </w:t>
      </w:r>
      <w:r>
        <w:t xml:space="preserve">for </w:t>
      </w:r>
      <w:r w:rsidR="00080FBC">
        <w:t xml:space="preserve">allowing </w:t>
      </w:r>
      <w:r>
        <w:t xml:space="preserve">direct signalling path from </w:t>
      </w:r>
      <w:r w:rsidR="00080FBC">
        <w:t xml:space="preserve">the </w:t>
      </w:r>
      <w:r>
        <w:t xml:space="preserve">secondary node to the UE have been </w:t>
      </w:r>
      <w:r w:rsidR="00080FBC">
        <w:t>addressed. T</w:t>
      </w:r>
      <w:r>
        <w:t xml:space="preserve">he discussion by motivating the requirement and some key observations are made in this regard. </w:t>
      </w:r>
      <w:r w:rsidR="002553D9">
        <w:t>These are listed here once again:</w:t>
      </w:r>
    </w:p>
    <w:p w14:paraId="1D03B80F" w14:textId="62C41261" w:rsidR="0041024C" w:rsidRPr="0041024C" w:rsidRDefault="0041024C" w:rsidP="0041024C">
      <w:pPr>
        <w:rPr>
          <w:b/>
        </w:rPr>
      </w:pPr>
      <w:r w:rsidRPr="0041024C">
        <w:rPr>
          <w:b/>
        </w:rPr>
        <w:t xml:space="preserve">Observation 1: LTE does not need to be aware of changes to </w:t>
      </w:r>
      <w:r w:rsidR="009A03A4">
        <w:rPr>
          <w:b/>
        </w:rPr>
        <w:t>Type I</w:t>
      </w:r>
      <w:r w:rsidRPr="0041024C">
        <w:rPr>
          <w:b/>
        </w:rPr>
        <w:t xml:space="preserve"> NR configuration and NR does not need to be aware of changes to </w:t>
      </w:r>
      <w:r w:rsidR="009A03A4">
        <w:rPr>
          <w:b/>
        </w:rPr>
        <w:t>Type I</w:t>
      </w:r>
      <w:r w:rsidRPr="0041024C">
        <w:rPr>
          <w:b/>
        </w:rPr>
        <w:t xml:space="preserve"> LTE configuration.</w:t>
      </w:r>
    </w:p>
    <w:p w14:paraId="32B8EAFF" w14:textId="40108884" w:rsidR="0041024C" w:rsidRPr="0041024C" w:rsidRDefault="0041024C" w:rsidP="0041024C">
      <w:pPr>
        <w:rPr>
          <w:b/>
        </w:rPr>
      </w:pPr>
      <w:r w:rsidRPr="0041024C">
        <w:rPr>
          <w:b/>
        </w:rPr>
        <w:t xml:space="preserve">Observation 2: Changes to (at least the </w:t>
      </w:r>
      <w:r w:rsidR="009A03A4">
        <w:rPr>
          <w:b/>
        </w:rPr>
        <w:t>Type I</w:t>
      </w:r>
      <w:r w:rsidRPr="0041024C">
        <w:rPr>
          <w:b/>
        </w:rPr>
        <w:t>) NR configuration can be done with  direct SgNB RRC signalling.</w:t>
      </w:r>
    </w:p>
    <w:p w14:paraId="7B1C006A" w14:textId="77777777" w:rsidR="0041024C" w:rsidRPr="0041024C" w:rsidRDefault="0041024C" w:rsidP="0041024C">
      <w:pPr>
        <w:rPr>
          <w:b/>
        </w:rPr>
      </w:pPr>
      <w:r w:rsidRPr="0041024C">
        <w:rPr>
          <w:b/>
        </w:rPr>
        <w:t>Observation 3: Direct SgNB RRC signalling has latency benefits over indirect MeNB RRC signalling.</w:t>
      </w:r>
    </w:p>
    <w:p w14:paraId="7C48E328" w14:textId="1976A9A3" w:rsidR="0041024C" w:rsidRPr="0041024C" w:rsidRDefault="0041024C" w:rsidP="0041024C">
      <w:pPr>
        <w:rPr>
          <w:b/>
        </w:rPr>
      </w:pPr>
      <w:r w:rsidRPr="0041024C">
        <w:rPr>
          <w:b/>
        </w:rPr>
        <w:t xml:space="preserve">Observation 3b. LTE does not need to be aware of all changes to </w:t>
      </w:r>
      <w:r w:rsidR="009A03A4">
        <w:rPr>
          <w:b/>
        </w:rPr>
        <w:t>Type II</w:t>
      </w:r>
      <w:r w:rsidRPr="0041024C">
        <w:rPr>
          <w:b/>
        </w:rPr>
        <w:t xml:space="preserve">/C NR configurations and NR does not need to be aware of all changes to </w:t>
      </w:r>
      <w:r w:rsidR="009A03A4">
        <w:rPr>
          <w:b/>
        </w:rPr>
        <w:t>Type II</w:t>
      </w:r>
      <w:r w:rsidRPr="0041024C">
        <w:rPr>
          <w:b/>
        </w:rPr>
        <w:t xml:space="preserve">/C LTE configuration. </w:t>
      </w:r>
    </w:p>
    <w:p w14:paraId="133F7117" w14:textId="77777777" w:rsidR="0041024C" w:rsidRPr="0041024C" w:rsidRDefault="0041024C" w:rsidP="0041024C">
      <w:pPr>
        <w:rPr>
          <w:b/>
        </w:rPr>
      </w:pPr>
      <w:r w:rsidRPr="0041024C">
        <w:rPr>
          <w:b/>
        </w:rPr>
        <w:t>Observation 4: From an overall procedural point of view, the master node may need to  be made aware of the  success or failure response of the direct SgNB signalling, when applicable and when useful. (This can be expected to be specified as part of the procedure in the WI phase.)</w:t>
      </w:r>
    </w:p>
    <w:p w14:paraId="7A27A5B0" w14:textId="03E24711" w:rsidR="002553D9" w:rsidRPr="006E13D1" w:rsidRDefault="0041024C" w:rsidP="0041024C">
      <w:r w:rsidRPr="0041024C">
        <w:rPr>
          <w:b/>
        </w:rPr>
        <w:t>Observation 5: The design issues of the direct signalling from SgNB can be solved by simple extensions to the tight interworking signalling framework.</w:t>
      </w:r>
    </w:p>
    <w:p w14:paraId="7A27A5B1" w14:textId="5167110A" w:rsidR="00CD4C7B" w:rsidRDefault="00CE4D4A" w:rsidP="00CD4C7B">
      <w:r>
        <w:t xml:space="preserve">The protocol framework and design issues have been discussed by presenting </w:t>
      </w:r>
      <w:r w:rsidR="00714EF6">
        <w:t xml:space="preserve">motivations and simple </w:t>
      </w:r>
      <w:r>
        <w:t>solutions to each of the</w:t>
      </w:r>
      <w:r w:rsidR="00714EF6">
        <w:t>m</w:t>
      </w:r>
      <w:r>
        <w:t xml:space="preserve">. It can be concluded that direct signalling between the secondary </w:t>
      </w:r>
      <w:r w:rsidR="007039E0">
        <w:t>node</w:t>
      </w:r>
      <w:r>
        <w:t xml:space="preserve"> to the UE </w:t>
      </w:r>
      <w:r w:rsidR="00294D10">
        <w:t xml:space="preserve">is </w:t>
      </w:r>
      <w:r>
        <w:t>beneficial</w:t>
      </w:r>
      <w:r w:rsidR="00294D10">
        <w:t xml:space="preserve"> enabling lower </w:t>
      </w:r>
      <w:r>
        <w:t xml:space="preserve">latency </w:t>
      </w:r>
      <w:r w:rsidR="00294D10">
        <w:t xml:space="preserve">and </w:t>
      </w:r>
      <w:r>
        <w:t xml:space="preserve">also </w:t>
      </w:r>
      <w:r w:rsidR="00714EF6">
        <w:t xml:space="preserve">for </w:t>
      </w:r>
      <w:r w:rsidR="00BD1F94">
        <w:t xml:space="preserve">allowing </w:t>
      </w:r>
      <w:r>
        <w:t xml:space="preserve">signalling </w:t>
      </w:r>
      <w:r w:rsidR="00BD1F94">
        <w:t>diversity for RRC</w:t>
      </w:r>
      <w:r>
        <w:t>. Based on the discussion and the arguments presented above, we propose:</w:t>
      </w:r>
    </w:p>
    <w:p w14:paraId="7A27A5B2" w14:textId="1DAD8D31" w:rsidR="00CE4D4A" w:rsidRPr="002553D9" w:rsidRDefault="00CE4D4A" w:rsidP="00CD4C7B">
      <w:pPr>
        <w:rPr>
          <w:b/>
        </w:rPr>
      </w:pPr>
      <w:r w:rsidRPr="002553D9">
        <w:rPr>
          <w:b/>
        </w:rPr>
        <w:lastRenderedPageBreak/>
        <w:t xml:space="preserve">Proposal 1: </w:t>
      </w:r>
      <w:r w:rsidR="002553D9">
        <w:rPr>
          <w:b/>
        </w:rPr>
        <w:t xml:space="preserve">Allow the direct signalling from </w:t>
      </w:r>
      <w:r w:rsidR="00714EF6">
        <w:rPr>
          <w:b/>
        </w:rPr>
        <w:t xml:space="preserve">the </w:t>
      </w:r>
      <w:r w:rsidR="002553D9">
        <w:rPr>
          <w:b/>
        </w:rPr>
        <w:t xml:space="preserve">secondary node to the UE </w:t>
      </w:r>
      <w:r w:rsidR="00303A96">
        <w:rPr>
          <w:b/>
        </w:rPr>
        <w:t>in</w:t>
      </w:r>
      <w:r w:rsidR="002553D9">
        <w:rPr>
          <w:b/>
        </w:rPr>
        <w:t xml:space="preserve"> LTE/NR tight interworking</w:t>
      </w:r>
      <w:r w:rsidR="00303A96">
        <w:rPr>
          <w:b/>
        </w:rPr>
        <w:t xml:space="preserve"> scenarios.</w:t>
      </w:r>
    </w:p>
    <w:p w14:paraId="7A27A5B3" w14:textId="77777777" w:rsidR="00CD4C7B" w:rsidRPr="006E13D1" w:rsidRDefault="00CD4C7B" w:rsidP="00CD4C7B">
      <w:pPr>
        <w:pStyle w:val="Heading1"/>
      </w:pPr>
      <w:r w:rsidRPr="006E13D1">
        <w:t>References</w:t>
      </w:r>
    </w:p>
    <w:p w14:paraId="7A27A5B4" w14:textId="77777777" w:rsidR="007B25FD" w:rsidRDefault="007B25FD" w:rsidP="007B25FD">
      <w:pPr>
        <w:numPr>
          <w:ilvl w:val="0"/>
          <w:numId w:val="4"/>
        </w:numPr>
        <w:spacing w:after="200"/>
        <w:jc w:val="both"/>
      </w:pPr>
      <w:bookmarkStart w:id="2" w:name="_Ref75086397"/>
      <w:r>
        <w:t xml:space="preserve">RP-161266: </w:t>
      </w:r>
      <w:r w:rsidRPr="008D1F94">
        <w:t>5G architecture options – full set</w:t>
      </w:r>
      <w:r>
        <w:t xml:space="preserve">, </w:t>
      </w:r>
      <w:r w:rsidRPr="008D1F94">
        <w:rPr>
          <w:i/>
        </w:rPr>
        <w:t>Deutsche Telekom AG</w:t>
      </w:r>
    </w:p>
    <w:p w14:paraId="7A27A5B5" w14:textId="77777777" w:rsidR="00CD4C7B" w:rsidRPr="006E13D1" w:rsidRDefault="00520350" w:rsidP="00520350">
      <w:pPr>
        <w:numPr>
          <w:ilvl w:val="0"/>
          <w:numId w:val="4"/>
        </w:numPr>
        <w:overflowPunct w:val="0"/>
        <w:autoSpaceDE w:val="0"/>
        <w:autoSpaceDN w:val="0"/>
        <w:adjustRightInd w:val="0"/>
        <w:textAlignment w:val="baseline"/>
      </w:pPr>
      <w:r w:rsidRPr="00520350">
        <w:t>R2-166243</w:t>
      </w:r>
      <w:r w:rsidR="00CD4C7B" w:rsidRPr="006E13D1">
        <w:t xml:space="preserve">, </w:t>
      </w:r>
      <w:r w:rsidRPr="00520350">
        <w:rPr>
          <w:i/>
          <w:iCs/>
        </w:rPr>
        <w:t>On UE capability and network node coordination aspects in LTE-NR tight interworking</w:t>
      </w:r>
      <w:r w:rsidR="00CD4C7B" w:rsidRPr="006E13D1">
        <w:t xml:space="preserve">, </w:t>
      </w:r>
      <w:bookmarkEnd w:id="2"/>
      <w:r w:rsidRPr="00520350">
        <w:t>Nokia, Alcatel-Lucent Shanghai Bell</w:t>
      </w:r>
    </w:p>
    <w:p w14:paraId="7A27A5B6" w14:textId="77777777" w:rsidR="00CD4C7B" w:rsidRPr="006E13D1" w:rsidRDefault="00CD4C7B" w:rsidP="00CD4C7B"/>
    <w:p w14:paraId="7A27A5B7" w14:textId="77777777" w:rsidR="00CD4C7B" w:rsidRDefault="00CD4C7B" w:rsidP="00CD4C7B"/>
    <w:p w14:paraId="7A27A5B8"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BE86E" w14:textId="77777777" w:rsidR="00B20874" w:rsidRDefault="00B20874">
      <w:r>
        <w:separator/>
      </w:r>
    </w:p>
  </w:endnote>
  <w:endnote w:type="continuationSeparator" w:id="0">
    <w:p w14:paraId="7F0DE71D" w14:textId="77777777" w:rsidR="00B20874" w:rsidRDefault="00B2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28302" w14:textId="77777777" w:rsidR="00B20874" w:rsidRDefault="00B20874">
      <w:r>
        <w:separator/>
      </w:r>
    </w:p>
  </w:footnote>
  <w:footnote w:type="continuationSeparator" w:id="0">
    <w:p w14:paraId="0B5E38A9" w14:textId="77777777" w:rsidR="00B20874" w:rsidRDefault="00B208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029F8"/>
    <w:multiLevelType w:val="hybridMultilevel"/>
    <w:tmpl w:val="8684F400"/>
    <w:lvl w:ilvl="0" w:tplc="D5CEDD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D0654"/>
    <w:multiLevelType w:val="hybridMultilevel"/>
    <w:tmpl w:val="0CEAD7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CC466BE"/>
    <w:multiLevelType w:val="hybridMultilevel"/>
    <w:tmpl w:val="8DC43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67782DBF"/>
    <w:multiLevelType w:val="hybridMultilevel"/>
    <w:tmpl w:val="D2BAE1AA"/>
    <w:lvl w:ilvl="0" w:tplc="92D47C94">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20A"/>
    <w:rsid w:val="00033397"/>
    <w:rsid w:val="00040095"/>
    <w:rsid w:val="000516E1"/>
    <w:rsid w:val="00080512"/>
    <w:rsid w:val="00080FBC"/>
    <w:rsid w:val="00090468"/>
    <w:rsid w:val="000A7B5A"/>
    <w:rsid w:val="000B7BCF"/>
    <w:rsid w:val="000C522B"/>
    <w:rsid w:val="000D58AB"/>
    <w:rsid w:val="000D7776"/>
    <w:rsid w:val="000E12C8"/>
    <w:rsid w:val="000F4046"/>
    <w:rsid w:val="00145903"/>
    <w:rsid w:val="00167241"/>
    <w:rsid w:val="0017258A"/>
    <w:rsid w:val="001741A0"/>
    <w:rsid w:val="00194CD0"/>
    <w:rsid w:val="00195473"/>
    <w:rsid w:val="001B1E1C"/>
    <w:rsid w:val="001B2FBF"/>
    <w:rsid w:val="001B49C9"/>
    <w:rsid w:val="001C6A5E"/>
    <w:rsid w:val="001F168B"/>
    <w:rsid w:val="001F4768"/>
    <w:rsid w:val="001F7831"/>
    <w:rsid w:val="00204045"/>
    <w:rsid w:val="00210A9F"/>
    <w:rsid w:val="002130A9"/>
    <w:rsid w:val="00220A8A"/>
    <w:rsid w:val="0022606D"/>
    <w:rsid w:val="002553D9"/>
    <w:rsid w:val="00267762"/>
    <w:rsid w:val="002747EC"/>
    <w:rsid w:val="00276AD9"/>
    <w:rsid w:val="002855BF"/>
    <w:rsid w:val="00294D10"/>
    <w:rsid w:val="002A1FBB"/>
    <w:rsid w:val="002E2657"/>
    <w:rsid w:val="002F0D22"/>
    <w:rsid w:val="00303A96"/>
    <w:rsid w:val="003172DC"/>
    <w:rsid w:val="00326069"/>
    <w:rsid w:val="00331B53"/>
    <w:rsid w:val="0033785A"/>
    <w:rsid w:val="0035462D"/>
    <w:rsid w:val="00372F65"/>
    <w:rsid w:val="003B40AD"/>
    <w:rsid w:val="003B63AF"/>
    <w:rsid w:val="003C4E37"/>
    <w:rsid w:val="003E16BE"/>
    <w:rsid w:val="00401855"/>
    <w:rsid w:val="0041024C"/>
    <w:rsid w:val="00412CBE"/>
    <w:rsid w:val="00477455"/>
    <w:rsid w:val="004D3578"/>
    <w:rsid w:val="004D380D"/>
    <w:rsid w:val="004E1DF7"/>
    <w:rsid w:val="004E213A"/>
    <w:rsid w:val="00503171"/>
    <w:rsid w:val="00506C28"/>
    <w:rsid w:val="00520350"/>
    <w:rsid w:val="0053065A"/>
    <w:rsid w:val="00534DA0"/>
    <w:rsid w:val="00543E6C"/>
    <w:rsid w:val="00565087"/>
    <w:rsid w:val="0056573F"/>
    <w:rsid w:val="00572A0E"/>
    <w:rsid w:val="005814C1"/>
    <w:rsid w:val="005D11D5"/>
    <w:rsid w:val="006106B9"/>
    <w:rsid w:val="00611566"/>
    <w:rsid w:val="0063403F"/>
    <w:rsid w:val="00640E9E"/>
    <w:rsid w:val="00646D99"/>
    <w:rsid w:val="00656910"/>
    <w:rsid w:val="006772FE"/>
    <w:rsid w:val="006C66D8"/>
    <w:rsid w:val="006D1E24"/>
    <w:rsid w:val="006E1417"/>
    <w:rsid w:val="006E5BD2"/>
    <w:rsid w:val="006F6A2C"/>
    <w:rsid w:val="007039E0"/>
    <w:rsid w:val="00714EF6"/>
    <w:rsid w:val="00716699"/>
    <w:rsid w:val="00723BFA"/>
    <w:rsid w:val="00734A5B"/>
    <w:rsid w:val="00744E76"/>
    <w:rsid w:val="007501AC"/>
    <w:rsid w:val="007526E9"/>
    <w:rsid w:val="00757D40"/>
    <w:rsid w:val="00781F0F"/>
    <w:rsid w:val="0078727C"/>
    <w:rsid w:val="0079049D"/>
    <w:rsid w:val="007A4471"/>
    <w:rsid w:val="007B18D8"/>
    <w:rsid w:val="007B25FD"/>
    <w:rsid w:val="007B3A09"/>
    <w:rsid w:val="007B54B5"/>
    <w:rsid w:val="007C095F"/>
    <w:rsid w:val="007E36C1"/>
    <w:rsid w:val="008028A4"/>
    <w:rsid w:val="00852243"/>
    <w:rsid w:val="00870515"/>
    <w:rsid w:val="008768CA"/>
    <w:rsid w:val="00877EF9"/>
    <w:rsid w:val="00880559"/>
    <w:rsid w:val="00895BD7"/>
    <w:rsid w:val="008C3D29"/>
    <w:rsid w:val="00901114"/>
    <w:rsid w:val="0090271F"/>
    <w:rsid w:val="00936071"/>
    <w:rsid w:val="00942EC2"/>
    <w:rsid w:val="00961B32"/>
    <w:rsid w:val="00974BB0"/>
    <w:rsid w:val="009A03A4"/>
    <w:rsid w:val="009A0AF3"/>
    <w:rsid w:val="009A5113"/>
    <w:rsid w:val="009B07CD"/>
    <w:rsid w:val="009C19E9"/>
    <w:rsid w:val="009D3B5C"/>
    <w:rsid w:val="009E6C9A"/>
    <w:rsid w:val="009F25B4"/>
    <w:rsid w:val="00A10F02"/>
    <w:rsid w:val="00A53724"/>
    <w:rsid w:val="00A76468"/>
    <w:rsid w:val="00A76BAB"/>
    <w:rsid w:val="00A82346"/>
    <w:rsid w:val="00A9671C"/>
    <w:rsid w:val="00AF63C1"/>
    <w:rsid w:val="00B15449"/>
    <w:rsid w:val="00B20874"/>
    <w:rsid w:val="00B47FD1"/>
    <w:rsid w:val="00B61040"/>
    <w:rsid w:val="00B86B06"/>
    <w:rsid w:val="00BD0735"/>
    <w:rsid w:val="00BD1F94"/>
    <w:rsid w:val="00BD6982"/>
    <w:rsid w:val="00BF53AA"/>
    <w:rsid w:val="00C03C5C"/>
    <w:rsid w:val="00C12B51"/>
    <w:rsid w:val="00C24650"/>
    <w:rsid w:val="00C33079"/>
    <w:rsid w:val="00C57BCD"/>
    <w:rsid w:val="00C83A13"/>
    <w:rsid w:val="00C95B45"/>
    <w:rsid w:val="00C96B83"/>
    <w:rsid w:val="00CA3D0C"/>
    <w:rsid w:val="00CA654B"/>
    <w:rsid w:val="00CD34DF"/>
    <w:rsid w:val="00CD4C7B"/>
    <w:rsid w:val="00CD5DA4"/>
    <w:rsid w:val="00CE4D4A"/>
    <w:rsid w:val="00CF0234"/>
    <w:rsid w:val="00D21FE8"/>
    <w:rsid w:val="00D738D6"/>
    <w:rsid w:val="00D77AFA"/>
    <w:rsid w:val="00D80795"/>
    <w:rsid w:val="00D87E00"/>
    <w:rsid w:val="00D9134D"/>
    <w:rsid w:val="00D96D11"/>
    <w:rsid w:val="00DA7A03"/>
    <w:rsid w:val="00DB1818"/>
    <w:rsid w:val="00DC309B"/>
    <w:rsid w:val="00DC4DA2"/>
    <w:rsid w:val="00E477C7"/>
    <w:rsid w:val="00E62835"/>
    <w:rsid w:val="00E77645"/>
    <w:rsid w:val="00E8341B"/>
    <w:rsid w:val="00E83697"/>
    <w:rsid w:val="00E974BC"/>
    <w:rsid w:val="00EC4A25"/>
    <w:rsid w:val="00F025A2"/>
    <w:rsid w:val="00F07388"/>
    <w:rsid w:val="00F2026E"/>
    <w:rsid w:val="00F20F46"/>
    <w:rsid w:val="00F2210A"/>
    <w:rsid w:val="00F37743"/>
    <w:rsid w:val="00F40A45"/>
    <w:rsid w:val="00F537ED"/>
    <w:rsid w:val="00F54A3D"/>
    <w:rsid w:val="00F653B8"/>
    <w:rsid w:val="00F71B89"/>
    <w:rsid w:val="00F7353C"/>
    <w:rsid w:val="00F76F8F"/>
    <w:rsid w:val="00F8332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27A56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odyText">
    <w:name w:val="Body Text"/>
    <w:basedOn w:val="Normal"/>
    <w:link w:val="BodyTextChar"/>
    <w:rsid w:val="00F40A45"/>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F40A45"/>
    <w:rPr>
      <w:rFonts w:ascii="Arial" w:hAnsi="Arial"/>
      <w:lang w:eastAsia="zh-CN"/>
    </w:rPr>
  </w:style>
  <w:style w:type="paragraph" w:customStyle="1" w:styleId="Doc-text2">
    <w:name w:val="Doc-text2"/>
    <w:basedOn w:val="Normal"/>
    <w:link w:val="Doc-text2Char"/>
    <w:qFormat/>
    <w:rsid w:val="00F40A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0A45"/>
    <w:rPr>
      <w:rFonts w:ascii="Arial" w:eastAsia="MS Mincho" w:hAnsi="Arial"/>
      <w:szCs w:val="24"/>
    </w:rPr>
  </w:style>
  <w:style w:type="paragraph" w:styleId="ListParagraph">
    <w:name w:val="List Paragraph"/>
    <w:basedOn w:val="Normal"/>
    <w:uiPriority w:val="34"/>
    <w:qFormat/>
    <w:rsid w:val="00276AD9"/>
    <w:pPr>
      <w:ind w:left="720"/>
      <w:contextualSpacing/>
    </w:pPr>
  </w:style>
  <w:style w:type="character" w:styleId="CommentReference">
    <w:name w:val="annotation reference"/>
    <w:basedOn w:val="DefaultParagraphFont"/>
    <w:rsid w:val="00870515"/>
    <w:rPr>
      <w:sz w:val="16"/>
      <w:szCs w:val="16"/>
    </w:rPr>
  </w:style>
  <w:style w:type="paragraph" w:styleId="CommentText">
    <w:name w:val="annotation text"/>
    <w:basedOn w:val="Normal"/>
    <w:link w:val="CommentTextChar"/>
    <w:rsid w:val="00870515"/>
  </w:style>
  <w:style w:type="character" w:customStyle="1" w:styleId="CommentTextChar">
    <w:name w:val="Comment Text Char"/>
    <w:basedOn w:val="DefaultParagraphFont"/>
    <w:link w:val="CommentText"/>
    <w:rsid w:val="00870515"/>
    <w:rPr>
      <w:lang w:eastAsia="en-US"/>
    </w:rPr>
  </w:style>
  <w:style w:type="paragraph" w:styleId="CommentSubject">
    <w:name w:val="annotation subject"/>
    <w:basedOn w:val="CommentText"/>
    <w:next w:val="CommentText"/>
    <w:link w:val="CommentSubjectChar"/>
    <w:rsid w:val="00870515"/>
    <w:rPr>
      <w:b/>
      <w:bCs/>
    </w:rPr>
  </w:style>
  <w:style w:type="character" w:customStyle="1" w:styleId="CommentSubjectChar">
    <w:name w:val="Comment Subject Char"/>
    <w:basedOn w:val="CommentTextChar"/>
    <w:link w:val="CommentSubject"/>
    <w:rsid w:val="00870515"/>
    <w:rPr>
      <w:b/>
      <w:bCs/>
      <w:lang w:eastAsia="en-US"/>
    </w:rPr>
  </w:style>
  <w:style w:type="paragraph" w:styleId="BalloonText">
    <w:name w:val="Balloon Text"/>
    <w:basedOn w:val="Normal"/>
    <w:link w:val="BalloonTextChar"/>
    <w:rsid w:val="00870515"/>
    <w:pPr>
      <w:spacing w:after="0"/>
    </w:pPr>
    <w:rPr>
      <w:rFonts w:ascii="Segoe UI" w:hAnsi="Segoe UI" w:cs="Segoe UI"/>
      <w:sz w:val="18"/>
      <w:szCs w:val="18"/>
    </w:rPr>
  </w:style>
  <w:style w:type="character" w:customStyle="1" w:styleId="BalloonTextChar">
    <w:name w:val="Balloon Text Char"/>
    <w:basedOn w:val="DefaultParagraphFont"/>
    <w:link w:val="BalloonText"/>
    <w:rsid w:val="0087051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34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Props1.xml><?xml version="1.0" encoding="utf-8"?>
<ds:datastoreItem xmlns:ds="http://schemas.openxmlformats.org/officeDocument/2006/customXml" ds:itemID="{0E7116FC-5EFE-4950-AFD0-54A9A5B28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CFAEE5-6C10-44AD-BC85-0CA0CD0D8108}">
  <ds:schemaRefs>
    <ds:schemaRef ds:uri="http://schemas.microsoft.com/sharepoint/v3/contenttype/forms"/>
  </ds:schemaRefs>
</ds:datastoreItem>
</file>

<file path=customXml/itemProps3.xml><?xml version="1.0" encoding="utf-8"?>
<ds:datastoreItem xmlns:ds="http://schemas.openxmlformats.org/officeDocument/2006/customXml" ds:itemID="{39ED0499-C34B-4805-BA58-3EB215CB5010}">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docProps/app.xml><?xml version="1.0" encoding="utf-8"?>
<Properties xmlns="http://schemas.openxmlformats.org/officeDocument/2006/extended-properties" xmlns:vt="http://schemas.openxmlformats.org/officeDocument/2006/docPropsVTypes">
  <Template>3GPP TDoc.dot</Template>
  <TotalTime>132</TotalTime>
  <Pages>6</Pages>
  <Words>1396</Words>
  <Characters>11316</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Rinne, Mika P. (Nokia - FI/Espoo)</dc:creator>
  <cp:lastModifiedBy>Ali, Amaanat (Nokia - FI/Espoo)</cp:lastModifiedBy>
  <cp:revision>13</cp:revision>
  <dcterms:created xsi:type="dcterms:W3CDTF">2017-01-05T11:34:00Z</dcterms:created>
  <dcterms:modified xsi:type="dcterms:W3CDTF">2017-01-05T18:53:00Z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